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32860978"/>
        <w:docPartObj>
          <w:docPartGallery w:val="Cover Pages"/>
          <w:docPartUnique/>
        </w:docPartObj>
      </w:sdtPr>
      <w:sdtEndPr/>
      <w:sdtContent>
        <w:p w14:paraId="702528EB" w14:textId="77777777" w:rsidR="00F96ABE" w:rsidRDefault="00F96ABE"/>
        <w:p w14:paraId="5C9FAF3D" w14:textId="77777777" w:rsidR="006001B0" w:rsidRDefault="006001B0"/>
        <w:p w14:paraId="75129857" w14:textId="77777777" w:rsidR="006001B0" w:rsidRDefault="006001B0"/>
        <w:p w14:paraId="656B31FF" w14:textId="77777777" w:rsidR="006001B0" w:rsidRDefault="006001B0"/>
        <w:p w14:paraId="5C69EF28" w14:textId="77777777" w:rsidR="006001B0" w:rsidRDefault="006001B0"/>
        <w:p w14:paraId="6708C478" w14:textId="543A7DCC" w:rsidR="006001B0" w:rsidRDefault="006001B0"/>
        <w:p w14:paraId="566621DC" w14:textId="44639D91" w:rsidR="006001B0" w:rsidRDefault="006001B0"/>
        <w:p w14:paraId="272DCED6" w14:textId="1FB7AA57" w:rsidR="006001B0" w:rsidRDefault="006001B0"/>
        <w:p w14:paraId="2364C062" w14:textId="52985641" w:rsidR="006001B0" w:rsidRDefault="006001B0"/>
        <w:p w14:paraId="6B3544DE" w14:textId="62F8EF19" w:rsidR="006001B0" w:rsidRDefault="000A6D15">
          <w:r>
            <w:rPr>
              <w:noProof/>
            </w:rPr>
            <mc:AlternateContent>
              <mc:Choice Requires="wps">
                <w:drawing>
                  <wp:anchor distT="0" distB="0" distL="114300" distR="114300" simplePos="0" relativeHeight="251616256" behindDoc="0" locked="0" layoutInCell="1" allowOverlap="1" wp14:anchorId="6DF0EDE4" wp14:editId="258BD2AD">
                    <wp:simplePos x="0" y="0"/>
                    <wp:positionH relativeFrom="margin">
                      <wp:posOffset>-91440</wp:posOffset>
                    </wp:positionH>
                    <wp:positionV relativeFrom="paragraph">
                      <wp:posOffset>233680</wp:posOffset>
                    </wp:positionV>
                    <wp:extent cx="6299835" cy="8763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876300"/>
                            </a:xfrm>
                            <a:prstGeom prst="rect">
                              <a:avLst/>
                            </a:prstGeom>
                            <a:noFill/>
                            <a:ln w="9525">
                              <a:noFill/>
                              <a:miter lim="800000"/>
                              <a:headEnd/>
                              <a:tailEnd/>
                            </a:ln>
                          </wps:spPr>
                          <wps:txbx>
                            <w:txbxContent>
                              <w:p w14:paraId="0814B385" w14:textId="6F6E012F" w:rsidR="0094760F" w:rsidRPr="000A6D15" w:rsidRDefault="0094760F" w:rsidP="000A6D15">
                                <w:pPr>
                                  <w:spacing w:after="0" w:line="240" w:lineRule="auto"/>
                                  <w:rPr>
                                    <w:rFonts w:ascii="Century Gothic" w:hAnsi="Century Gothic"/>
                                    <w:b/>
                                    <w:bCs/>
                                    <w:sz w:val="90"/>
                                    <w:szCs w:val="90"/>
                                    <w:lang w:val="it-IT"/>
                                  </w:rPr>
                                </w:pPr>
                                <w:r w:rsidRPr="00B4026B">
                                  <w:rPr>
                                    <w:rFonts w:ascii="Century Gothic" w:hAnsi="Century Gothic"/>
                                    <w:b/>
                                    <w:bCs/>
                                    <w:spacing w:val="142"/>
                                    <w:sz w:val="90"/>
                                    <w:szCs w:val="90"/>
                                    <w:fitText w:val="9072" w:id="1447252992"/>
                                    <w:lang w:val="it-IT"/>
                                  </w:rPr>
                                  <w:t>Ngāi Tāmanuhir</w:t>
                                </w:r>
                                <w:r w:rsidRPr="00B4026B">
                                  <w:rPr>
                                    <w:rFonts w:ascii="Century Gothic" w:hAnsi="Century Gothic"/>
                                    <w:b/>
                                    <w:bCs/>
                                    <w:spacing w:val="11"/>
                                    <w:sz w:val="90"/>
                                    <w:szCs w:val="90"/>
                                    <w:fitText w:val="9072" w:id="1447252992"/>
                                    <w:lang w:val="it-IT"/>
                                  </w:rPr>
                                  <w:t>i</w:t>
                                </w:r>
                              </w:p>
                              <w:p w14:paraId="56B88A71" w14:textId="619ABB6A" w:rsidR="0094760F" w:rsidRPr="00DF212D" w:rsidRDefault="0094760F" w:rsidP="000A6D15">
                                <w:pPr>
                                  <w:pStyle w:val="NoSpacing"/>
                                  <w:spacing w:line="276" w:lineRule="auto"/>
                                  <w:rPr>
                                    <w:rFonts w:ascii="Century Gothic" w:hAnsi="Century Gothic"/>
                                    <w:sz w:val="74"/>
                                    <w:szCs w:val="74"/>
                                    <w:lang w:val="it-I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F0EDE4" id="_x0000_t202" coordsize="21600,21600" o:spt="202" path="m,l,21600r21600,l21600,xe">
                    <v:stroke joinstyle="miter"/>
                    <v:path gradientshapeok="t" o:connecttype="rect"/>
                  </v:shapetype>
                  <v:shape id="Text Box 2" o:spid="_x0000_s1026" type="#_x0000_t202" style="position:absolute;margin-left:-7.2pt;margin-top:18.4pt;width:496.05pt;height:69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" filled="f" stroked="f">
                    <v:textbox>
                      <w:txbxContent>
                        <w:p w14:paraId="0814B385" w14:textId="6F6E012F" w:rsidR="0094760F" w:rsidRPr="000A6D15" w:rsidRDefault="0094760F" w:rsidP="000A6D15">
                          <w:pPr>
                            <w:spacing w:after="0" w:line="240" w:lineRule="auto"/>
                            <w:rPr>
                              <w:rFonts w:ascii="Century Gothic" w:hAnsi="Century Gothic"/>
                              <w:b/>
                              <w:bCs/>
                              <w:sz w:val="90"/>
                              <w:szCs w:val="90"/>
                              <w:lang w:val="it-IT"/>
                            </w:rPr>
                          </w:pPr>
                          <w:r w:rsidRPr="00B4026B">
                            <w:rPr>
                              <w:rFonts w:ascii="Century Gothic" w:hAnsi="Century Gothic"/>
                              <w:b/>
                              <w:bCs/>
                              <w:spacing w:val="142"/>
                              <w:sz w:val="90"/>
                              <w:szCs w:val="90"/>
                              <w:fitText w:val="9072" w:id="1447252992"/>
                              <w:lang w:val="it-IT"/>
                            </w:rPr>
                            <w:t>Ngāi Tāmanuhir</w:t>
                          </w:r>
                          <w:r w:rsidRPr="00B4026B">
                            <w:rPr>
                              <w:rFonts w:ascii="Century Gothic" w:hAnsi="Century Gothic"/>
                              <w:b/>
                              <w:bCs/>
                              <w:spacing w:val="11"/>
                              <w:sz w:val="90"/>
                              <w:szCs w:val="90"/>
                              <w:fitText w:val="9072" w:id="1447252992"/>
                              <w:lang w:val="it-IT"/>
                            </w:rPr>
                            <w:t>i</w:t>
                          </w:r>
                        </w:p>
                        <w:p w14:paraId="56B88A71" w14:textId="619ABB6A" w:rsidR="0094760F" w:rsidRPr="00DF212D" w:rsidRDefault="0094760F" w:rsidP="000A6D15">
                          <w:pPr>
                            <w:pStyle w:val="NoSpacing"/>
                            <w:spacing w:line="276" w:lineRule="auto"/>
                            <w:rPr>
                              <w:rFonts w:ascii="Century Gothic" w:hAnsi="Century Gothic"/>
                              <w:sz w:val="74"/>
                              <w:szCs w:val="74"/>
                              <w:lang w:val="it-IT"/>
                            </w:rPr>
                          </w:pPr>
                        </w:p>
                      </w:txbxContent>
                    </v:textbox>
                    <w10:wrap anchorx="margin"/>
                  </v:shape>
                </w:pict>
              </mc:Fallback>
            </mc:AlternateContent>
          </w:r>
        </w:p>
        <w:p w14:paraId="759FED9C" w14:textId="77777777" w:rsidR="006001B0" w:rsidRDefault="006001B0"/>
        <w:p w14:paraId="136B6858" w14:textId="77777777" w:rsidR="006001B0" w:rsidRDefault="006001B0"/>
        <w:p w14:paraId="1A8EB663" w14:textId="77777777" w:rsidR="006001B0" w:rsidRDefault="006001B0">
          <w:r>
            <w:rPr>
              <w:noProof/>
              <w:sz w:val="40"/>
              <w:szCs w:val="40"/>
            </w:rPr>
            <mc:AlternateContent>
              <mc:Choice Requires="wps">
                <w:drawing>
                  <wp:anchor distT="0" distB="0" distL="114300" distR="114300" simplePos="0" relativeHeight="252043264" behindDoc="0" locked="0" layoutInCell="1" allowOverlap="1" wp14:anchorId="7C1DE209" wp14:editId="21756204">
                    <wp:simplePos x="0" y="0"/>
                    <wp:positionH relativeFrom="page">
                      <wp:align>center</wp:align>
                    </wp:positionH>
                    <wp:positionV relativeFrom="paragraph">
                      <wp:posOffset>260985</wp:posOffset>
                    </wp:positionV>
                    <wp:extent cx="6124575" cy="0"/>
                    <wp:effectExtent l="0" t="0" r="28575" b="19050"/>
                    <wp:wrapNone/>
                    <wp:docPr id="58" name="Straight Connector 58"/>
                    <wp:cNvGraphicFramePr/>
                    <a:graphic xmlns:a="http://schemas.openxmlformats.org/drawingml/2006/main">
                      <a:graphicData uri="http://schemas.microsoft.com/office/word/2010/wordprocessingShape">
                        <wps:wsp>
                          <wps:cNvCnPr/>
                          <wps:spPr>
                            <a:xfrm>
                              <a:off x="0" y="0"/>
                              <a:ext cx="6124575" cy="0"/>
                            </a:xfrm>
                            <a:prstGeom prst="line">
                              <a:avLst/>
                            </a:prstGeom>
                            <a:ln w="15875">
                              <a:solidFill>
                                <a:srgbClr val="4EAFC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3ABC95B5" id="Straight Connector 58" o:spid="_x0000_s1026" style="position:absolute;z-index:252043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20.55pt" to="482.2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" strokecolor="#4eafc6" strokeweight="1.25pt">
                    <v:stroke joinstyle="miter"/>
                    <w10:wrap anchorx="page"/>
                  </v:line>
                </w:pict>
              </mc:Fallback>
            </mc:AlternateContent>
          </w:r>
          <w:r>
            <w:rPr>
              <w:noProof/>
            </w:rPr>
            <mc:AlternateContent>
              <mc:Choice Requires="wps">
                <w:drawing>
                  <wp:anchor distT="45720" distB="45720" distL="114300" distR="114300" simplePos="0" relativeHeight="252042240" behindDoc="0" locked="0" layoutInCell="1" allowOverlap="1" wp14:anchorId="2F3DF8EA" wp14:editId="7782EB17">
                    <wp:simplePos x="0" y="0"/>
                    <wp:positionH relativeFrom="margin">
                      <wp:posOffset>-95250</wp:posOffset>
                    </wp:positionH>
                    <wp:positionV relativeFrom="paragraph">
                      <wp:posOffset>269240</wp:posOffset>
                    </wp:positionV>
                    <wp:extent cx="6299835" cy="1404620"/>
                    <wp:effectExtent l="0" t="0" r="0"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1404620"/>
                            </a:xfrm>
                            <a:prstGeom prst="rect">
                              <a:avLst/>
                            </a:prstGeom>
                            <a:noFill/>
                            <a:ln w="9525">
                              <a:noFill/>
                              <a:miter lim="800000"/>
                              <a:headEnd/>
                              <a:tailEnd/>
                            </a:ln>
                          </wps:spPr>
                          <wps:txbx>
                            <w:txbxContent>
                              <w:p w14:paraId="2F22F436" w14:textId="08607DA2" w:rsidR="0094760F" w:rsidRPr="00FE6316" w:rsidRDefault="0094760F" w:rsidP="00995709">
                                <w:pPr>
                                  <w:rPr>
                                    <w:rFonts w:ascii="Century Gothic" w:hAnsi="Century Gothic"/>
                                    <w:b/>
                                    <w:bCs/>
                                    <w:sz w:val="78"/>
                                    <w:szCs w:val="78"/>
                                  </w:rPr>
                                </w:pPr>
                                <w:r w:rsidRPr="00877AF2">
                                  <w:rPr>
                                    <w:rFonts w:ascii="Century Gothic" w:hAnsi="Century Gothic"/>
                                    <w:b/>
                                    <w:bCs/>
                                    <w:spacing w:val="25"/>
                                    <w:sz w:val="78"/>
                                    <w:szCs w:val="78"/>
                                    <w:fitText w:val="9072" w:id="1447189251"/>
                                  </w:rPr>
                                  <w:t>A demographic profil</w:t>
                                </w:r>
                                <w:r w:rsidRPr="00877AF2">
                                  <w:rPr>
                                    <w:rFonts w:ascii="Century Gothic" w:hAnsi="Century Gothic"/>
                                    <w:b/>
                                    <w:bCs/>
                                    <w:spacing w:val="8"/>
                                    <w:sz w:val="78"/>
                                    <w:szCs w:val="78"/>
                                    <w:fitText w:val="9072" w:id="1447189251"/>
                                  </w:rPr>
                                  <w:t>e</w:t>
                                </w:r>
                                <w:r w:rsidRPr="00FE6316">
                                  <w:rPr>
                                    <w:rFonts w:ascii="Century Gothic" w:hAnsi="Century Gothic"/>
                                    <w:b/>
                                    <w:bCs/>
                                    <w:sz w:val="78"/>
                                    <w:szCs w:val="78"/>
                                  </w:rPr>
                                  <w:t xml:space="preserve"> of </w:t>
                                </w:r>
                                <w:proofErr w:type="spellStart"/>
                                <w:proofErr w:type="gramStart"/>
                                <w:r>
                                  <w:rPr>
                                    <w:rFonts w:ascii="Century Gothic" w:hAnsi="Century Gothic"/>
                                    <w:b/>
                                    <w:bCs/>
                                    <w:sz w:val="78"/>
                                    <w:szCs w:val="78"/>
                                  </w:rPr>
                                  <w:t>t</w:t>
                                </w:r>
                                <w:r w:rsidRPr="00FE6316">
                                  <w:rPr>
                                    <w:rFonts w:ascii="Century Gothic" w:hAnsi="Century Gothic"/>
                                    <w:b/>
                                    <w:bCs/>
                                    <w:sz w:val="78"/>
                                    <w:szCs w:val="78"/>
                                  </w:rPr>
                                  <w:t>e</w:t>
                                </w:r>
                                <w:proofErr w:type="spellEnd"/>
                                <w:proofErr w:type="gramEnd"/>
                                <w:r w:rsidRPr="00FE6316">
                                  <w:rPr>
                                    <w:rFonts w:ascii="Century Gothic" w:hAnsi="Century Gothic"/>
                                    <w:b/>
                                    <w:bCs/>
                                    <w:sz w:val="78"/>
                                    <w:szCs w:val="78"/>
                                  </w:rPr>
                                  <w:t xml:space="preserve"> </w:t>
                                </w:r>
                                <w:r>
                                  <w:rPr>
                                    <w:rFonts w:ascii="Century Gothic" w:hAnsi="Century Gothic"/>
                                    <w:b/>
                                    <w:bCs/>
                                    <w:sz w:val="78"/>
                                    <w:szCs w:val="78"/>
                                  </w:rPr>
                                  <w:t>r</w:t>
                                </w:r>
                                <w:r w:rsidRPr="00FE6316">
                                  <w:rPr>
                                    <w:rFonts w:ascii="Century Gothic" w:hAnsi="Century Gothic"/>
                                    <w:b/>
                                    <w:bCs/>
                                    <w:sz w:val="78"/>
                                    <w:szCs w:val="78"/>
                                  </w:rPr>
                                  <w:t>eo Māori speakers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3DF8EA" id="_x0000_s1027" type="#_x0000_t202" style="position:absolute;margin-left:-7.5pt;margin-top:21.2pt;width:496.05pt;height:110.6pt;z-index:252042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" filled="f" stroked="f">
                    <v:textbox style="mso-fit-shape-to-text:t">
                      <w:txbxContent>
                        <w:p w14:paraId="2F22F436" w14:textId="08607DA2" w:rsidR="0094760F" w:rsidRPr="00FE6316" w:rsidRDefault="0094760F" w:rsidP="00995709">
                          <w:pPr>
                            <w:rPr>
                              <w:rFonts w:ascii="Century Gothic" w:hAnsi="Century Gothic"/>
                              <w:b/>
                              <w:bCs/>
                              <w:sz w:val="78"/>
                              <w:szCs w:val="78"/>
                            </w:rPr>
                          </w:pPr>
                          <w:r w:rsidRPr="00877AF2">
                            <w:rPr>
                              <w:rFonts w:ascii="Century Gothic" w:hAnsi="Century Gothic"/>
                              <w:b/>
                              <w:bCs/>
                              <w:spacing w:val="25"/>
                              <w:sz w:val="78"/>
                              <w:szCs w:val="78"/>
                              <w:fitText w:val="9072" w:id="1447189251"/>
                            </w:rPr>
                            <w:t>A demographic profil</w:t>
                          </w:r>
                          <w:r w:rsidRPr="00877AF2">
                            <w:rPr>
                              <w:rFonts w:ascii="Century Gothic" w:hAnsi="Century Gothic"/>
                              <w:b/>
                              <w:bCs/>
                              <w:spacing w:val="8"/>
                              <w:sz w:val="78"/>
                              <w:szCs w:val="78"/>
                              <w:fitText w:val="9072" w:id="1447189251"/>
                            </w:rPr>
                            <w:t>e</w:t>
                          </w:r>
                          <w:r w:rsidRPr="00FE6316">
                            <w:rPr>
                              <w:rFonts w:ascii="Century Gothic" w:hAnsi="Century Gothic"/>
                              <w:b/>
                              <w:bCs/>
                              <w:sz w:val="78"/>
                              <w:szCs w:val="78"/>
                            </w:rPr>
                            <w:t xml:space="preserve"> of </w:t>
                          </w:r>
                          <w:proofErr w:type="spellStart"/>
                          <w:proofErr w:type="gramStart"/>
                          <w:r>
                            <w:rPr>
                              <w:rFonts w:ascii="Century Gothic" w:hAnsi="Century Gothic"/>
                              <w:b/>
                              <w:bCs/>
                              <w:sz w:val="78"/>
                              <w:szCs w:val="78"/>
                            </w:rPr>
                            <w:t>t</w:t>
                          </w:r>
                          <w:r w:rsidRPr="00FE6316">
                            <w:rPr>
                              <w:rFonts w:ascii="Century Gothic" w:hAnsi="Century Gothic"/>
                              <w:b/>
                              <w:bCs/>
                              <w:sz w:val="78"/>
                              <w:szCs w:val="78"/>
                            </w:rPr>
                            <w:t>e</w:t>
                          </w:r>
                          <w:proofErr w:type="spellEnd"/>
                          <w:proofErr w:type="gramEnd"/>
                          <w:r w:rsidRPr="00FE6316">
                            <w:rPr>
                              <w:rFonts w:ascii="Century Gothic" w:hAnsi="Century Gothic"/>
                              <w:b/>
                              <w:bCs/>
                              <w:sz w:val="78"/>
                              <w:szCs w:val="78"/>
                            </w:rPr>
                            <w:t xml:space="preserve"> </w:t>
                          </w:r>
                          <w:r>
                            <w:rPr>
                              <w:rFonts w:ascii="Century Gothic" w:hAnsi="Century Gothic"/>
                              <w:b/>
                              <w:bCs/>
                              <w:sz w:val="78"/>
                              <w:szCs w:val="78"/>
                            </w:rPr>
                            <w:t>r</w:t>
                          </w:r>
                          <w:r w:rsidRPr="00FE6316">
                            <w:rPr>
                              <w:rFonts w:ascii="Century Gothic" w:hAnsi="Century Gothic"/>
                              <w:b/>
                              <w:bCs/>
                              <w:sz w:val="78"/>
                              <w:szCs w:val="78"/>
                            </w:rPr>
                            <w:t>eo Māori speakers</w:t>
                          </w:r>
                        </w:p>
                      </w:txbxContent>
                    </v:textbox>
                    <w10:wrap type="square" anchorx="margin"/>
                  </v:shape>
                </w:pict>
              </mc:Fallback>
            </mc:AlternateContent>
          </w:r>
        </w:p>
        <w:p w14:paraId="54C6D883" w14:textId="77777777" w:rsidR="006001B0" w:rsidRDefault="006001B0"/>
        <w:p w14:paraId="6B6CF7C6" w14:textId="77777777" w:rsidR="006001B0" w:rsidRDefault="006001B0">
          <w:r w:rsidRPr="00FA0AB6">
            <w:rPr>
              <w:noProof/>
              <w:sz w:val="40"/>
              <w:szCs w:val="40"/>
            </w:rPr>
            <mc:AlternateContent>
              <mc:Choice Requires="wps">
                <w:drawing>
                  <wp:anchor distT="45720" distB="45720" distL="114300" distR="114300" simplePos="0" relativeHeight="251618304" behindDoc="0" locked="0" layoutInCell="1" allowOverlap="1" wp14:anchorId="7481D97F" wp14:editId="3481DEFD">
                    <wp:simplePos x="0" y="0"/>
                    <wp:positionH relativeFrom="margin">
                      <wp:align>right</wp:align>
                    </wp:positionH>
                    <wp:positionV relativeFrom="paragraph">
                      <wp:posOffset>419100</wp:posOffset>
                    </wp:positionV>
                    <wp:extent cx="6292850" cy="43815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438150"/>
                            </a:xfrm>
                            <a:prstGeom prst="rect">
                              <a:avLst/>
                            </a:prstGeom>
                            <a:noFill/>
                            <a:ln w="9525">
                              <a:noFill/>
                              <a:miter lim="800000"/>
                              <a:headEnd/>
                              <a:tailEnd/>
                            </a:ln>
                          </wps:spPr>
                          <wps:txbx>
                            <w:txbxContent>
                              <w:p w14:paraId="69496FDB" w14:textId="49ACDE63" w:rsidR="0094760F" w:rsidRPr="003113B6" w:rsidRDefault="0094760F" w:rsidP="003113B6">
                                <w:pPr>
                                  <w:rPr>
                                    <w:rFonts w:ascii="Century Gothic" w:hAnsi="Century Gothic"/>
                                    <w:b/>
                                    <w:bCs/>
                                    <w:color w:val="44546A"/>
                                    <w:sz w:val="44"/>
                                    <w:szCs w:val="44"/>
                                  </w:rPr>
                                </w:pPr>
                                <w:r>
                                  <w:rPr>
                                    <w:rFonts w:ascii="Century Gothic" w:hAnsi="Century Gothic"/>
                                    <w:b/>
                                    <w:bCs/>
                                    <w:color w:val="44546A"/>
                                    <w:sz w:val="44"/>
                                    <w:szCs w:val="44"/>
                                  </w:rPr>
                                  <w:t>August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1D97F" id="_x0000_s1028" type="#_x0000_t202" style="position:absolute;margin-left:444.3pt;margin-top:33pt;width:495.5pt;height:34.5pt;z-index:2516183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" filled="f" stroked="f">
                    <v:textbox>
                      <w:txbxContent>
                        <w:p w14:paraId="69496FDB" w14:textId="49ACDE63" w:rsidR="0094760F" w:rsidRPr="003113B6" w:rsidRDefault="0094760F" w:rsidP="003113B6">
                          <w:pPr>
                            <w:rPr>
                              <w:rFonts w:ascii="Century Gothic" w:hAnsi="Century Gothic"/>
                              <w:b/>
                              <w:bCs/>
                              <w:color w:val="44546A"/>
                              <w:sz w:val="44"/>
                              <w:szCs w:val="44"/>
                            </w:rPr>
                          </w:pPr>
                          <w:r>
                            <w:rPr>
                              <w:rFonts w:ascii="Century Gothic" w:hAnsi="Century Gothic"/>
                              <w:b/>
                              <w:bCs/>
                              <w:color w:val="44546A"/>
                              <w:sz w:val="44"/>
                              <w:szCs w:val="44"/>
                            </w:rPr>
                            <w:t>August 2017</w:t>
                          </w:r>
                        </w:p>
                      </w:txbxContent>
                    </v:textbox>
                    <w10:wrap type="square" anchorx="margin"/>
                  </v:shape>
                </w:pict>
              </mc:Fallback>
            </mc:AlternateContent>
          </w:r>
        </w:p>
        <w:p w14:paraId="1DED426B" w14:textId="111FFEC4" w:rsidR="006001B0" w:rsidRDefault="00DB1BC1" w:rsidP="00BB3208">
          <w:r>
            <w:rPr>
              <w:noProof/>
            </w:rPr>
            <w:drawing>
              <wp:anchor distT="0" distB="0" distL="114300" distR="114300" simplePos="0" relativeHeight="251622400" behindDoc="0" locked="0" layoutInCell="1" allowOverlap="1" wp14:anchorId="75546181" wp14:editId="412D8AA6">
                <wp:simplePos x="0" y="0"/>
                <wp:positionH relativeFrom="margin">
                  <wp:align>right</wp:align>
                </wp:positionH>
                <wp:positionV relativeFrom="paragraph">
                  <wp:posOffset>8166735</wp:posOffset>
                </wp:positionV>
                <wp:extent cx="2282825" cy="771525"/>
                <wp:effectExtent l="0" t="0" r="317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rotWithShape="1">
                        <a:blip r:embed="rId8" cstate="print">
                          <a:extLst>
                            <a:ext uri="{28A0092B-C50C-407E-A947-70E740481C1C}">
                              <a14:useLocalDpi xmlns:a14="http://schemas.microsoft.com/office/drawing/2010/main" val="0"/>
                            </a:ext>
                          </a:extLst>
                        </a:blip>
                        <a:srcRect b="12590"/>
                        <a:stretch/>
                      </pic:blipFill>
                      <pic:spPr bwMode="auto">
                        <a:xfrm>
                          <a:off x="0" y="0"/>
                          <a:ext cx="2282825" cy="7715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w:drawing>
              <wp:anchor distT="0" distB="0" distL="114300" distR="114300" simplePos="0" relativeHeight="251620352" behindDoc="0" locked="0" layoutInCell="1" allowOverlap="1" wp14:anchorId="0B2CD4A8" wp14:editId="51E6D60C">
                <wp:simplePos x="0" y="0"/>
                <wp:positionH relativeFrom="margin">
                  <wp:align>left</wp:align>
                </wp:positionH>
                <wp:positionV relativeFrom="paragraph">
                  <wp:posOffset>8252047</wp:posOffset>
                </wp:positionV>
                <wp:extent cx="3086100" cy="699770"/>
                <wp:effectExtent l="0" t="0" r="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6100" cy="699770"/>
                        </a:xfrm>
                        <a:prstGeom prst="rect">
                          <a:avLst/>
                        </a:prstGeom>
                      </pic:spPr>
                    </pic:pic>
                  </a:graphicData>
                </a:graphic>
              </wp:anchor>
            </w:drawing>
          </w:r>
          <w:r w:rsidR="00F96ABE">
            <w:rPr>
              <w:noProof/>
            </w:rPr>
            <mc:AlternateContent>
              <mc:Choice Requires="wpg">
                <w:drawing>
                  <wp:anchor distT="0" distB="0" distL="114300" distR="114300" simplePos="0" relativeHeight="251610112" behindDoc="0" locked="0" layoutInCell="1" allowOverlap="1" wp14:anchorId="1FAE59DC" wp14:editId="7EBA1C0B">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rgbClr val="4EAF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rgbClr val="44546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se="http://schemas.microsoft.com/office/word/2015/wordml/symex" xmlns:cx1="http://schemas.microsoft.com/office/drawing/2015/9/8/chartex" xmlns:cx="http://schemas.microsoft.com/office/drawing/2014/chartex">
                <w:pict>
                  <v:group w14:anchorId="63C43D21" id="Group 114" o:spid="_x0000_s1026" style="position:absolute;margin-left:0;margin-top:0;width:18pt;height:10in;z-index:251610112;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" fillcolor="#4eafc6"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" fillcolor="#44546a" stroked="f" strokeweight="1pt">
                      <v:path arrowok="t"/>
                      <o:lock v:ext="edit" aspectratio="t"/>
                    </v:rect>
                    <w10:wrap anchorx="page" anchory="page"/>
                  </v:group>
                </w:pict>
              </mc:Fallback>
            </mc:AlternateContent>
          </w:r>
        </w:p>
        <w:p w14:paraId="7782F0AA" w14:textId="56AFC97E" w:rsidR="002B2A85" w:rsidRDefault="00D07B0A" w:rsidP="006001B0">
          <w:r w:rsidRPr="00FA0AB6">
            <w:rPr>
              <w:noProof/>
              <w:sz w:val="40"/>
              <w:szCs w:val="40"/>
            </w:rPr>
            <mc:AlternateContent>
              <mc:Choice Requires="wps">
                <w:drawing>
                  <wp:anchor distT="45720" distB="45720" distL="114300" distR="114300" simplePos="0" relativeHeight="252366848" behindDoc="0" locked="0" layoutInCell="1" allowOverlap="1" wp14:anchorId="68B744C9" wp14:editId="4132FFB8">
                    <wp:simplePos x="0" y="0"/>
                    <wp:positionH relativeFrom="margin">
                      <wp:posOffset>32385</wp:posOffset>
                    </wp:positionH>
                    <wp:positionV relativeFrom="paragraph">
                      <wp:posOffset>250825</wp:posOffset>
                    </wp:positionV>
                    <wp:extent cx="6292850" cy="7429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742950"/>
                            </a:xfrm>
                            <a:prstGeom prst="rect">
                              <a:avLst/>
                            </a:prstGeom>
                            <a:noFill/>
                            <a:ln w="9525">
                              <a:noFill/>
                              <a:miter lim="800000"/>
                              <a:headEnd/>
                              <a:tailEnd/>
                            </a:ln>
                          </wps:spPr>
                          <wps:txbx>
                            <w:txbxContent>
                              <w:p w14:paraId="1576BA7C" w14:textId="2B3B9C5E" w:rsidR="0094760F" w:rsidRDefault="0094760F" w:rsidP="00D07B0A">
                                <w:pPr>
                                  <w:rPr>
                                    <w:rFonts w:ascii="Century Gothic" w:hAnsi="Century Gothic"/>
                                    <w:b/>
                                    <w:bCs/>
                                    <w:color w:val="44546A"/>
                                    <w:sz w:val="32"/>
                                    <w:szCs w:val="32"/>
                                    <w:lang w:val="mi-NZ"/>
                                  </w:rPr>
                                </w:pPr>
                                <w:r>
                                  <w:rPr>
                                    <w:rFonts w:ascii="Century Gothic" w:hAnsi="Century Gothic"/>
                                    <w:b/>
                                    <w:bCs/>
                                    <w:color w:val="44546A"/>
                                    <w:sz w:val="32"/>
                                    <w:szCs w:val="32"/>
                                    <w:lang w:val="mi-NZ"/>
                                  </w:rPr>
                                  <w:t>Tahu Kukutai</w:t>
                                </w:r>
                              </w:p>
                              <w:p w14:paraId="2AAF8986" w14:textId="5C890F62" w:rsidR="0094760F" w:rsidRDefault="0094760F" w:rsidP="00D07B0A">
                                <w:pPr>
                                  <w:rPr>
                                    <w:rFonts w:ascii="Century Gothic" w:hAnsi="Century Gothic"/>
                                    <w:b/>
                                    <w:bCs/>
                                    <w:color w:val="44546A"/>
                                    <w:sz w:val="32"/>
                                    <w:szCs w:val="32"/>
                                    <w:lang w:val="mi-NZ"/>
                                  </w:rPr>
                                </w:pPr>
                                <w:r>
                                  <w:rPr>
                                    <w:rFonts w:ascii="Century Gothic" w:hAnsi="Century Gothic"/>
                                    <w:b/>
                                    <w:bCs/>
                                    <w:color w:val="44546A"/>
                                    <w:sz w:val="32"/>
                                    <w:szCs w:val="32"/>
                                    <w:lang w:val="mi-NZ"/>
                                  </w:rPr>
                                  <w:t>Shefali Pawar</w:t>
                                </w:r>
                              </w:p>
                              <w:p w14:paraId="28EA8EF4" w14:textId="497AE116" w:rsidR="0094760F" w:rsidRPr="00D07B0A" w:rsidRDefault="0094760F" w:rsidP="00D07B0A">
                                <w:pPr>
                                  <w:rPr>
                                    <w:rFonts w:ascii="Century Gothic" w:hAnsi="Century Gothic"/>
                                    <w:b/>
                                    <w:bCs/>
                                    <w:color w:val="44546A"/>
                                    <w:sz w:val="32"/>
                                    <w:szCs w:val="32"/>
                                    <w:lang w:val="mi-NZ"/>
                                  </w:rPr>
                                </w:pPr>
                                <w:r>
                                  <w:rPr>
                                    <w:rFonts w:ascii="Century Gothic" w:hAnsi="Century Gothic"/>
                                    <w:b/>
                                    <w:bCs/>
                                    <w:color w:val="44546A"/>
                                    <w:sz w:val="32"/>
                                    <w:szCs w:val="32"/>
                                    <w:lang w:val="mi-NZ"/>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744C9" id="_x0000_s1029" type="#_x0000_t202" style="position:absolute;margin-left:2.55pt;margin-top:19.75pt;width:495.5pt;height:58.5pt;z-index:25236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" filled="f" stroked="f">
                    <v:textbox>
                      <w:txbxContent>
                        <w:p w14:paraId="1576BA7C" w14:textId="2B3B9C5E" w:rsidR="0094760F" w:rsidRDefault="0094760F" w:rsidP="00D07B0A">
                          <w:pPr>
                            <w:rPr>
                              <w:rFonts w:ascii="Century Gothic" w:hAnsi="Century Gothic"/>
                              <w:b/>
                              <w:bCs/>
                              <w:color w:val="44546A"/>
                              <w:sz w:val="32"/>
                              <w:szCs w:val="32"/>
                              <w:lang w:val="mi-NZ"/>
                            </w:rPr>
                          </w:pPr>
                          <w:r>
                            <w:rPr>
                              <w:rFonts w:ascii="Century Gothic" w:hAnsi="Century Gothic"/>
                              <w:b/>
                              <w:bCs/>
                              <w:color w:val="44546A"/>
                              <w:sz w:val="32"/>
                              <w:szCs w:val="32"/>
                              <w:lang w:val="mi-NZ"/>
                            </w:rPr>
                            <w:t>Tahu Kukutai</w:t>
                          </w:r>
                        </w:p>
                        <w:p w14:paraId="2AAF8986" w14:textId="5C890F62" w:rsidR="0094760F" w:rsidRDefault="0094760F" w:rsidP="00D07B0A">
                          <w:pPr>
                            <w:rPr>
                              <w:rFonts w:ascii="Century Gothic" w:hAnsi="Century Gothic"/>
                              <w:b/>
                              <w:bCs/>
                              <w:color w:val="44546A"/>
                              <w:sz w:val="32"/>
                              <w:szCs w:val="32"/>
                              <w:lang w:val="mi-NZ"/>
                            </w:rPr>
                          </w:pPr>
                          <w:r>
                            <w:rPr>
                              <w:rFonts w:ascii="Century Gothic" w:hAnsi="Century Gothic"/>
                              <w:b/>
                              <w:bCs/>
                              <w:color w:val="44546A"/>
                              <w:sz w:val="32"/>
                              <w:szCs w:val="32"/>
                              <w:lang w:val="mi-NZ"/>
                            </w:rPr>
                            <w:t>Shefali Pawar</w:t>
                          </w:r>
                        </w:p>
                        <w:p w14:paraId="28EA8EF4" w14:textId="497AE116" w:rsidR="0094760F" w:rsidRPr="00D07B0A" w:rsidRDefault="0094760F" w:rsidP="00D07B0A">
                          <w:pPr>
                            <w:rPr>
                              <w:rFonts w:ascii="Century Gothic" w:hAnsi="Century Gothic"/>
                              <w:b/>
                              <w:bCs/>
                              <w:color w:val="44546A"/>
                              <w:sz w:val="32"/>
                              <w:szCs w:val="32"/>
                              <w:lang w:val="mi-NZ"/>
                            </w:rPr>
                          </w:pPr>
                          <w:r>
                            <w:rPr>
                              <w:rFonts w:ascii="Century Gothic" w:hAnsi="Century Gothic"/>
                              <w:b/>
                              <w:bCs/>
                              <w:color w:val="44546A"/>
                              <w:sz w:val="32"/>
                              <w:szCs w:val="32"/>
                              <w:lang w:val="mi-NZ"/>
                            </w:rPr>
                            <w:t>S</w:t>
                          </w:r>
                        </w:p>
                      </w:txbxContent>
                    </v:textbox>
                    <w10:wrap type="square" anchorx="margin"/>
                  </v:shape>
                </w:pict>
              </mc:Fallback>
            </mc:AlternateContent>
          </w:r>
        </w:p>
        <w:p w14:paraId="3219B6F3" w14:textId="77777777" w:rsidR="006001B0" w:rsidRDefault="006001B0" w:rsidP="006001B0"/>
        <w:p w14:paraId="1F8C44F9" w14:textId="34218166" w:rsidR="006001B0" w:rsidRDefault="006001B0" w:rsidP="006001B0">
          <w:r>
            <w:rPr>
              <w:noProof/>
            </w:rPr>
            <w:drawing>
              <wp:anchor distT="0" distB="0" distL="114300" distR="114300" simplePos="0" relativeHeight="252304384" behindDoc="1" locked="0" layoutInCell="1" allowOverlap="1" wp14:anchorId="44D2CB01" wp14:editId="52257746">
                <wp:simplePos x="0" y="0"/>
                <wp:positionH relativeFrom="margin">
                  <wp:posOffset>3789680</wp:posOffset>
                </wp:positionH>
                <wp:positionV relativeFrom="paragraph">
                  <wp:posOffset>217805</wp:posOffset>
                </wp:positionV>
                <wp:extent cx="2418715" cy="790575"/>
                <wp:effectExtent l="0" t="0" r="635" b="9525"/>
                <wp:wrapTight wrapText="bothSides">
                  <wp:wrapPolygon edited="0">
                    <wp:start x="0" y="0"/>
                    <wp:lineTo x="0" y="21340"/>
                    <wp:lineTo x="21436" y="21340"/>
                    <wp:lineTo x="2143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ik_Word_RGB_H[1].JPG"/>
                        <pic:cNvPicPr/>
                      </pic:nvPicPr>
                      <pic:blipFill rotWithShape="1">
                        <a:blip r:embed="rId10" cstate="print">
                          <a:extLst>
                            <a:ext uri="{28A0092B-C50C-407E-A947-70E740481C1C}">
                              <a14:useLocalDpi xmlns:a14="http://schemas.microsoft.com/office/drawing/2010/main" val="0"/>
                            </a:ext>
                          </a:extLst>
                        </a:blip>
                        <a:srcRect b="15479"/>
                        <a:stretch/>
                      </pic:blipFill>
                      <pic:spPr bwMode="auto">
                        <a:xfrm>
                          <a:off x="0" y="0"/>
                          <a:ext cx="2418715" cy="790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3EBCE0" w14:textId="046DE440" w:rsidR="006001B0" w:rsidRDefault="002B2A85" w:rsidP="006001B0">
          <w:r>
            <w:rPr>
              <w:noProof/>
            </w:rPr>
            <w:drawing>
              <wp:anchor distT="0" distB="0" distL="114300" distR="114300" simplePos="0" relativeHeight="252305408" behindDoc="1" locked="0" layoutInCell="1" allowOverlap="1" wp14:anchorId="7D336848" wp14:editId="1654D25B">
                <wp:simplePos x="0" y="0"/>
                <wp:positionH relativeFrom="margin">
                  <wp:posOffset>-95250</wp:posOffset>
                </wp:positionH>
                <wp:positionV relativeFrom="paragraph">
                  <wp:posOffset>95972</wp:posOffset>
                </wp:positionV>
                <wp:extent cx="2733675" cy="620395"/>
                <wp:effectExtent l="0" t="0" r="9525" b="8255"/>
                <wp:wrapTight wrapText="bothSides">
                  <wp:wrapPolygon edited="0">
                    <wp:start x="0" y="0"/>
                    <wp:lineTo x="0" y="21224"/>
                    <wp:lineTo x="21525" y="21224"/>
                    <wp:lineTo x="215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IN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3675" cy="620395"/>
                        </a:xfrm>
                        <a:prstGeom prst="rect">
                          <a:avLst/>
                        </a:prstGeom>
                      </pic:spPr>
                    </pic:pic>
                  </a:graphicData>
                </a:graphic>
                <wp14:sizeRelH relativeFrom="page">
                  <wp14:pctWidth>0</wp14:pctWidth>
                </wp14:sizeRelH>
                <wp14:sizeRelV relativeFrom="page">
                  <wp14:pctHeight>0</wp14:pctHeight>
                </wp14:sizeRelV>
              </wp:anchor>
            </w:drawing>
          </w:r>
        </w:p>
        <w:p w14:paraId="78E0D4F5" w14:textId="77777777" w:rsidR="006001B0" w:rsidRDefault="006001B0" w:rsidP="006001B0"/>
        <w:p w14:paraId="6456B74F" w14:textId="77777777" w:rsidR="006001B0" w:rsidRDefault="006001B0" w:rsidP="006001B0"/>
        <w:p w14:paraId="6DC338B9" w14:textId="77777777" w:rsidR="006001B0" w:rsidRDefault="006001B0" w:rsidP="006001B0"/>
        <w:p w14:paraId="7564080A" w14:textId="77777777" w:rsidR="006001B0" w:rsidRDefault="006001B0" w:rsidP="006001B0"/>
        <w:p w14:paraId="19956B22" w14:textId="77777777" w:rsidR="006001B0" w:rsidRDefault="006001B0" w:rsidP="006001B0"/>
        <w:p w14:paraId="143BC8CD" w14:textId="77777777" w:rsidR="00DB1BC1" w:rsidRDefault="00DB1BC1"/>
        <w:p w14:paraId="549324F5" w14:textId="65256C78" w:rsidR="00DB1BC1" w:rsidRPr="00FE6316" w:rsidRDefault="002B2A85" w:rsidP="00DF212D">
          <w:pPr>
            <w:rPr>
              <w:rFonts w:ascii="Century Gothic" w:hAnsi="Century Gothic"/>
              <w:b/>
              <w:bCs/>
              <w:color w:val="44546A"/>
              <w:spacing w:val="87"/>
              <w:sz w:val="36"/>
              <w:szCs w:val="36"/>
            </w:rPr>
          </w:pPr>
          <w:r w:rsidRPr="001A1ABD">
            <w:rPr>
              <w:rFonts w:ascii="Century Gothic" w:hAnsi="Century Gothic"/>
              <w:b/>
              <w:bCs/>
              <w:noProof/>
              <w:color w:val="4EAFC6"/>
              <w:spacing w:val="99"/>
              <w:sz w:val="36"/>
              <w:szCs w:val="36"/>
            </w:rPr>
            <mc:AlternateContent>
              <mc:Choice Requires="wps">
                <w:drawing>
                  <wp:anchor distT="0" distB="0" distL="114300" distR="114300" simplePos="0" relativeHeight="251623424" behindDoc="0" locked="0" layoutInCell="1" allowOverlap="1" wp14:anchorId="51DFFC30" wp14:editId="2D3B6878">
                    <wp:simplePos x="0" y="0"/>
                    <wp:positionH relativeFrom="margin">
                      <wp:posOffset>22225</wp:posOffset>
                    </wp:positionH>
                    <wp:positionV relativeFrom="margin">
                      <wp:posOffset>1498600</wp:posOffset>
                    </wp:positionV>
                    <wp:extent cx="6336000"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6336000" cy="0"/>
                            </a:xfrm>
                            <a:prstGeom prst="line">
                              <a:avLst/>
                            </a:prstGeom>
                            <a:ln w="15875">
                              <a:solidFill>
                                <a:srgbClr val="4EAFC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9466879" id="Straight Connector 2" o:spid="_x0000_s1026" style="position:absolute;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75pt,118pt" to="500.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" strokecolor="#4eafc6" strokeweight="1.25pt">
                    <v:stroke joinstyle="miter"/>
                    <w10:wrap anchorx="margin" anchory="margin"/>
                  </v:line>
                </w:pict>
              </mc:Fallback>
            </mc:AlternateContent>
          </w:r>
          <w:proofErr w:type="spellStart"/>
          <w:r w:rsidR="008B1B8A" w:rsidRPr="008B1B8A">
            <w:rPr>
              <w:rFonts w:ascii="Century Gothic" w:hAnsi="Century Gothic"/>
              <w:b/>
              <w:bCs/>
              <w:color w:val="44546A"/>
              <w:spacing w:val="202"/>
              <w:sz w:val="36"/>
              <w:szCs w:val="36"/>
              <w:fitText w:val="5670" w:id="1447255552"/>
            </w:rPr>
            <w:t>Ngāi</w:t>
          </w:r>
          <w:proofErr w:type="spellEnd"/>
          <w:r w:rsidR="00DF212D" w:rsidRPr="008B1B8A">
            <w:rPr>
              <w:rFonts w:ascii="Century Gothic" w:hAnsi="Century Gothic"/>
              <w:b/>
              <w:bCs/>
              <w:color w:val="44546A"/>
              <w:spacing w:val="202"/>
              <w:sz w:val="36"/>
              <w:szCs w:val="36"/>
              <w:fitText w:val="5670" w:id="1447255552"/>
            </w:rPr>
            <w:t xml:space="preserve"> </w:t>
          </w:r>
          <w:proofErr w:type="spellStart"/>
          <w:r w:rsidR="00DF212D" w:rsidRPr="008B1B8A">
            <w:rPr>
              <w:rFonts w:ascii="Century Gothic" w:hAnsi="Century Gothic"/>
              <w:b/>
              <w:bCs/>
              <w:color w:val="44546A"/>
              <w:spacing w:val="202"/>
              <w:sz w:val="36"/>
              <w:szCs w:val="36"/>
              <w:fitText w:val="5670" w:id="1447255552"/>
            </w:rPr>
            <w:t>Tāmanuhir</w:t>
          </w:r>
          <w:r w:rsidR="00DF212D" w:rsidRPr="008B1B8A">
            <w:rPr>
              <w:rFonts w:ascii="Century Gothic" w:hAnsi="Century Gothic"/>
              <w:b/>
              <w:bCs/>
              <w:color w:val="44546A"/>
              <w:spacing w:val="13"/>
              <w:sz w:val="36"/>
              <w:szCs w:val="36"/>
              <w:fitText w:val="5670" w:id="1447255552"/>
            </w:rPr>
            <w:t>i</w:t>
          </w:r>
          <w:proofErr w:type="spellEnd"/>
        </w:p>
        <w:p w14:paraId="2BFDA598" w14:textId="35666650" w:rsidR="00DB1BC1" w:rsidRPr="00FE6316" w:rsidRDefault="002B2A85" w:rsidP="00995709">
          <w:pPr>
            <w:rPr>
              <w:rFonts w:ascii="Century Gothic" w:hAnsi="Century Gothic"/>
              <w:b/>
              <w:bCs/>
              <w:color w:val="44546A"/>
              <w:sz w:val="36"/>
              <w:szCs w:val="36"/>
            </w:rPr>
          </w:pPr>
          <w:r w:rsidRPr="00995709">
            <w:rPr>
              <w:rFonts w:ascii="Century Gothic" w:hAnsi="Century Gothic"/>
              <w:b/>
              <w:bCs/>
              <w:color w:val="44546A"/>
              <w:spacing w:val="30"/>
              <w:sz w:val="36"/>
              <w:szCs w:val="36"/>
              <w:fitText w:val="9639" w:id="1454066178"/>
            </w:rPr>
            <w:t xml:space="preserve">A </w:t>
          </w:r>
          <w:r w:rsidR="00FE6316" w:rsidRPr="00995709">
            <w:rPr>
              <w:rFonts w:ascii="Century Gothic" w:hAnsi="Century Gothic"/>
              <w:b/>
              <w:bCs/>
              <w:color w:val="44546A"/>
              <w:spacing w:val="30"/>
              <w:sz w:val="36"/>
              <w:szCs w:val="36"/>
              <w:fitText w:val="9639" w:id="1454066178"/>
            </w:rPr>
            <w:t>d</w:t>
          </w:r>
          <w:r w:rsidRPr="00995709">
            <w:rPr>
              <w:rFonts w:ascii="Century Gothic" w:hAnsi="Century Gothic"/>
              <w:b/>
              <w:bCs/>
              <w:color w:val="44546A"/>
              <w:spacing w:val="30"/>
              <w:sz w:val="36"/>
              <w:szCs w:val="36"/>
              <w:fitText w:val="9639" w:id="1454066178"/>
            </w:rPr>
            <w:t xml:space="preserve">emographic </w:t>
          </w:r>
          <w:r w:rsidR="00FE6316" w:rsidRPr="00995709">
            <w:rPr>
              <w:rFonts w:ascii="Century Gothic" w:hAnsi="Century Gothic"/>
              <w:b/>
              <w:bCs/>
              <w:color w:val="44546A"/>
              <w:spacing w:val="30"/>
              <w:sz w:val="36"/>
              <w:szCs w:val="36"/>
              <w:fitText w:val="9639" w:id="1454066178"/>
            </w:rPr>
            <w:t>p</w:t>
          </w:r>
          <w:r w:rsidRPr="00995709">
            <w:rPr>
              <w:rFonts w:ascii="Century Gothic" w:hAnsi="Century Gothic"/>
              <w:b/>
              <w:bCs/>
              <w:color w:val="44546A"/>
              <w:spacing w:val="30"/>
              <w:sz w:val="36"/>
              <w:szCs w:val="36"/>
              <w:fitText w:val="9639" w:id="1454066178"/>
            </w:rPr>
            <w:t>rofil</w:t>
          </w:r>
          <w:r w:rsidR="00FE6316" w:rsidRPr="00995709">
            <w:rPr>
              <w:rFonts w:ascii="Century Gothic" w:hAnsi="Century Gothic"/>
              <w:b/>
              <w:bCs/>
              <w:color w:val="44546A"/>
              <w:spacing w:val="30"/>
              <w:sz w:val="36"/>
              <w:szCs w:val="36"/>
              <w:fitText w:val="9639" w:id="1454066178"/>
            </w:rPr>
            <w:t xml:space="preserve">e of </w:t>
          </w:r>
          <w:proofErr w:type="spellStart"/>
          <w:proofErr w:type="gramStart"/>
          <w:r w:rsidR="00995709" w:rsidRPr="00995709">
            <w:rPr>
              <w:rFonts w:ascii="Century Gothic" w:hAnsi="Century Gothic"/>
              <w:b/>
              <w:bCs/>
              <w:color w:val="44546A"/>
              <w:spacing w:val="30"/>
              <w:sz w:val="36"/>
              <w:szCs w:val="36"/>
              <w:fitText w:val="9639" w:id="1454066178"/>
            </w:rPr>
            <w:t>te</w:t>
          </w:r>
          <w:proofErr w:type="spellEnd"/>
          <w:proofErr w:type="gramEnd"/>
          <w:r w:rsidR="00995709" w:rsidRPr="00995709">
            <w:rPr>
              <w:rFonts w:ascii="Century Gothic" w:hAnsi="Century Gothic"/>
              <w:b/>
              <w:bCs/>
              <w:color w:val="44546A"/>
              <w:spacing w:val="30"/>
              <w:sz w:val="36"/>
              <w:szCs w:val="36"/>
              <w:fitText w:val="9639" w:id="1454066178"/>
            </w:rPr>
            <w:t xml:space="preserve"> r</w:t>
          </w:r>
          <w:r w:rsidR="00047DBD" w:rsidRPr="00995709">
            <w:rPr>
              <w:rFonts w:ascii="Century Gothic" w:hAnsi="Century Gothic"/>
              <w:b/>
              <w:bCs/>
              <w:color w:val="44546A"/>
              <w:spacing w:val="30"/>
              <w:sz w:val="36"/>
              <w:szCs w:val="36"/>
              <w:fitText w:val="9639" w:id="1454066178"/>
            </w:rPr>
            <w:t>eo Māori</w:t>
          </w:r>
          <w:r w:rsidR="00FE6316" w:rsidRPr="00995709">
            <w:rPr>
              <w:rFonts w:ascii="Century Gothic" w:hAnsi="Century Gothic"/>
              <w:b/>
              <w:bCs/>
              <w:color w:val="44546A"/>
              <w:spacing w:val="30"/>
              <w:sz w:val="36"/>
              <w:szCs w:val="36"/>
              <w:fitText w:val="9639" w:id="1454066178"/>
            </w:rPr>
            <w:t xml:space="preserve"> speaker</w:t>
          </w:r>
          <w:r w:rsidR="00FE6316" w:rsidRPr="00995709">
            <w:rPr>
              <w:rFonts w:ascii="Century Gothic" w:hAnsi="Century Gothic"/>
              <w:b/>
              <w:bCs/>
              <w:color w:val="44546A"/>
              <w:spacing w:val="17"/>
              <w:sz w:val="36"/>
              <w:szCs w:val="36"/>
              <w:fitText w:val="9639" w:id="1454066178"/>
            </w:rPr>
            <w:t>s</w:t>
          </w:r>
          <w:r w:rsidR="00FE6316" w:rsidRPr="00FE6316">
            <w:rPr>
              <w:rFonts w:ascii="Century Gothic" w:hAnsi="Century Gothic"/>
              <w:b/>
              <w:bCs/>
              <w:color w:val="44546A"/>
              <w:sz w:val="36"/>
              <w:szCs w:val="36"/>
            </w:rPr>
            <w:t xml:space="preserve"> </w:t>
          </w:r>
        </w:p>
        <w:p w14:paraId="3CC682D9" w14:textId="5F60F176" w:rsidR="00DB1BC1" w:rsidRPr="00FE6316" w:rsidRDefault="00DB1BC1"/>
        <w:p w14:paraId="26969560" w14:textId="77777777" w:rsidR="00F96ABE" w:rsidRDefault="00FD6EDA"/>
      </w:sdtContent>
    </w:sdt>
    <w:p w14:paraId="79ED55D8" w14:textId="3BD12E2B" w:rsidR="00D17EA7" w:rsidRDefault="0033211E">
      <w:pPr>
        <w:rPr>
          <w:rFonts w:ascii="Century Gothic" w:hAnsi="Century Gothic"/>
          <w:b/>
          <w:bCs/>
          <w:color w:val="44546A"/>
        </w:rPr>
      </w:pPr>
      <w:r>
        <w:rPr>
          <w:rFonts w:ascii="Century Gothic" w:hAnsi="Century Gothic"/>
          <w:b/>
          <w:bCs/>
          <w:color w:val="44546A"/>
        </w:rPr>
        <w:t>August</w:t>
      </w:r>
      <w:r w:rsidR="002B2A85">
        <w:rPr>
          <w:rFonts w:ascii="Century Gothic" w:hAnsi="Century Gothic"/>
          <w:b/>
          <w:bCs/>
          <w:color w:val="44546A"/>
        </w:rPr>
        <w:t xml:space="preserve"> 2017</w:t>
      </w:r>
    </w:p>
    <w:p w14:paraId="210334BC" w14:textId="16E02000" w:rsidR="00691385" w:rsidRDefault="00691385">
      <w:pPr>
        <w:rPr>
          <w:rFonts w:ascii="Century Gothic" w:hAnsi="Century Gothic"/>
          <w:b/>
          <w:bCs/>
          <w:color w:val="44546A"/>
        </w:rPr>
      </w:pPr>
    </w:p>
    <w:p w14:paraId="2F385C9E" w14:textId="2D12EA4D" w:rsidR="002B2A85" w:rsidRDefault="002B2A85">
      <w:pPr>
        <w:rPr>
          <w:rFonts w:ascii="Century Gothic" w:hAnsi="Century Gothic"/>
          <w:b/>
          <w:bCs/>
          <w:color w:val="44546A"/>
        </w:rPr>
      </w:pPr>
    </w:p>
    <w:p w14:paraId="49B351CF" w14:textId="77777777" w:rsidR="002B2A85" w:rsidRDefault="002B2A85">
      <w:pPr>
        <w:rPr>
          <w:rFonts w:ascii="Century Gothic" w:hAnsi="Century Gothic"/>
          <w:b/>
          <w:bCs/>
          <w:color w:val="44546A"/>
        </w:rPr>
      </w:pPr>
    </w:p>
    <w:p w14:paraId="130ACE1E" w14:textId="77777777" w:rsidR="00691385" w:rsidRPr="00691385" w:rsidRDefault="00691385">
      <w:pPr>
        <w:rPr>
          <w:rFonts w:ascii="Century Gothic" w:hAnsi="Century Gothic"/>
          <w:b/>
          <w:bCs/>
          <w:color w:val="44546A"/>
        </w:rPr>
      </w:pPr>
    </w:p>
    <w:p w14:paraId="209202C2" w14:textId="77777777" w:rsidR="00691385" w:rsidRPr="00DB1BC1" w:rsidRDefault="00691385" w:rsidP="00691385">
      <w:pPr>
        <w:pStyle w:val="NormalWeb"/>
        <w:spacing w:before="0" w:beforeAutospacing="0" w:after="0" w:afterAutospacing="0" w:line="360" w:lineRule="auto"/>
        <w:rPr>
          <w:rFonts w:ascii="Century Gothic" w:hAnsi="Century Gothic" w:cs="Arial"/>
          <w:color w:val="44546A"/>
          <w:sz w:val="22"/>
          <w:szCs w:val="22"/>
        </w:rPr>
      </w:pPr>
      <w:proofErr w:type="spellStart"/>
      <w:r w:rsidRPr="00DB1BC1">
        <w:rPr>
          <w:rFonts w:ascii="Century Gothic" w:hAnsi="Century Gothic" w:cs="Calibri"/>
          <w:b/>
          <w:bCs/>
          <w:color w:val="44546A"/>
          <w:sz w:val="22"/>
          <w:szCs w:val="22"/>
        </w:rPr>
        <w:t>Te</w:t>
      </w:r>
      <w:proofErr w:type="spellEnd"/>
      <w:r w:rsidRPr="00DB1BC1">
        <w:rPr>
          <w:rFonts w:ascii="Century Gothic" w:hAnsi="Century Gothic" w:cs="Calibri"/>
          <w:b/>
          <w:bCs/>
          <w:color w:val="44546A"/>
          <w:sz w:val="22"/>
          <w:szCs w:val="22"/>
        </w:rPr>
        <w:t xml:space="preserve"> </w:t>
      </w:r>
      <w:proofErr w:type="spellStart"/>
      <w:r w:rsidRPr="00DB1BC1">
        <w:rPr>
          <w:rFonts w:ascii="Century Gothic" w:hAnsi="Century Gothic" w:cs="Calibri"/>
          <w:b/>
          <w:bCs/>
          <w:color w:val="44546A"/>
          <w:sz w:val="22"/>
          <w:szCs w:val="22"/>
        </w:rPr>
        <w:t>Rūnanga</w:t>
      </w:r>
      <w:proofErr w:type="spellEnd"/>
      <w:r w:rsidRPr="00DB1BC1">
        <w:rPr>
          <w:rFonts w:ascii="Century Gothic" w:hAnsi="Century Gothic" w:cs="Calibri"/>
          <w:b/>
          <w:bCs/>
          <w:color w:val="44546A"/>
          <w:sz w:val="22"/>
          <w:szCs w:val="22"/>
        </w:rPr>
        <w:t xml:space="preserve"> </w:t>
      </w:r>
      <w:proofErr w:type="spellStart"/>
      <w:r w:rsidRPr="00DB1BC1">
        <w:rPr>
          <w:rFonts w:ascii="Century Gothic" w:hAnsi="Century Gothic" w:cs="Calibri"/>
          <w:b/>
          <w:bCs/>
          <w:color w:val="44546A"/>
          <w:sz w:val="22"/>
          <w:szCs w:val="22"/>
        </w:rPr>
        <w:t>Tātari</w:t>
      </w:r>
      <w:proofErr w:type="spellEnd"/>
      <w:r w:rsidRPr="00DB1BC1">
        <w:rPr>
          <w:rFonts w:ascii="Century Gothic" w:hAnsi="Century Gothic" w:cs="Calibri"/>
          <w:b/>
          <w:bCs/>
          <w:color w:val="44546A"/>
          <w:sz w:val="22"/>
          <w:szCs w:val="22"/>
        </w:rPr>
        <w:t xml:space="preserve"> </w:t>
      </w:r>
      <w:proofErr w:type="spellStart"/>
      <w:r w:rsidRPr="00DB1BC1">
        <w:rPr>
          <w:rFonts w:ascii="Century Gothic" w:hAnsi="Century Gothic" w:cs="Calibri"/>
          <w:b/>
          <w:bCs/>
          <w:color w:val="44546A"/>
          <w:sz w:val="22"/>
          <w:szCs w:val="22"/>
        </w:rPr>
        <w:t>Tatauranga</w:t>
      </w:r>
      <w:proofErr w:type="spellEnd"/>
      <w:r w:rsidRPr="00DB1BC1">
        <w:rPr>
          <w:rFonts w:ascii="Century Gothic" w:hAnsi="Century Gothic" w:cs="Calibri"/>
          <w:color w:val="44546A"/>
          <w:sz w:val="22"/>
          <w:szCs w:val="22"/>
        </w:rPr>
        <w:t> </w:t>
      </w:r>
      <w:r w:rsidRPr="00DB1BC1">
        <w:rPr>
          <w:rFonts w:ascii="Century Gothic" w:hAnsi="Century Gothic" w:cs="Calibri"/>
          <w:b/>
          <w:bCs/>
          <w:color w:val="44546A"/>
          <w:sz w:val="22"/>
          <w:szCs w:val="22"/>
          <w:lang w:val="mi-NZ"/>
        </w:rPr>
        <w:t>|</w:t>
      </w:r>
      <w:r w:rsidRPr="00DB1BC1">
        <w:rPr>
          <w:rFonts w:ascii="Century Gothic" w:hAnsi="Century Gothic" w:cs="Calibri"/>
          <w:color w:val="44546A"/>
          <w:sz w:val="22"/>
          <w:szCs w:val="22"/>
          <w:lang w:val="mi-NZ"/>
        </w:rPr>
        <w:t> </w:t>
      </w:r>
      <w:r w:rsidRPr="00DB1BC1">
        <w:rPr>
          <w:rFonts w:ascii="Century Gothic" w:hAnsi="Century Gothic" w:cs="Calibri"/>
          <w:b/>
          <w:bCs/>
          <w:color w:val="44546A"/>
          <w:sz w:val="22"/>
          <w:szCs w:val="22"/>
          <w:lang w:val="mi-NZ"/>
        </w:rPr>
        <w:t>National Institute of Demographic and Economic Analysis</w:t>
      </w:r>
    </w:p>
    <w:p w14:paraId="1C808640" w14:textId="77777777" w:rsidR="00691385" w:rsidRPr="00DB1BC1" w:rsidRDefault="00691385" w:rsidP="00691385">
      <w:pPr>
        <w:pStyle w:val="NormalWeb"/>
        <w:spacing w:before="0" w:beforeAutospacing="0" w:after="0" w:afterAutospacing="0" w:line="360" w:lineRule="auto"/>
        <w:rPr>
          <w:rFonts w:ascii="Century Gothic" w:hAnsi="Century Gothic" w:cs="Arial"/>
          <w:color w:val="44546A"/>
          <w:sz w:val="22"/>
          <w:szCs w:val="22"/>
        </w:rPr>
      </w:pPr>
      <w:r w:rsidRPr="00DB1BC1">
        <w:rPr>
          <w:rFonts w:ascii="Century Gothic" w:hAnsi="Century Gothic" w:cs="Calibri"/>
          <w:color w:val="44546A"/>
          <w:sz w:val="22"/>
          <w:szCs w:val="22"/>
          <w:lang w:val="mi-NZ"/>
        </w:rPr>
        <w:t>Te Whare W</w:t>
      </w:r>
      <w:proofErr w:type="spellStart"/>
      <w:r w:rsidRPr="00DB1BC1">
        <w:rPr>
          <w:rFonts w:ascii="Century Gothic" w:hAnsi="Century Gothic" w:cs="Calibri"/>
          <w:color w:val="44546A"/>
          <w:sz w:val="22"/>
          <w:szCs w:val="22"/>
        </w:rPr>
        <w:t>ānanga</w:t>
      </w:r>
      <w:proofErr w:type="spellEnd"/>
      <w:r w:rsidRPr="00DB1BC1">
        <w:rPr>
          <w:rFonts w:ascii="Century Gothic" w:hAnsi="Century Gothic" w:cs="Calibri"/>
          <w:color w:val="44546A"/>
          <w:sz w:val="22"/>
          <w:szCs w:val="22"/>
        </w:rPr>
        <w:t xml:space="preserve"> o Waikato </w:t>
      </w:r>
      <w:r w:rsidRPr="00DB1BC1">
        <w:rPr>
          <w:rFonts w:ascii="Century Gothic" w:hAnsi="Century Gothic" w:cs="Calibri"/>
          <w:b/>
          <w:bCs/>
          <w:color w:val="44546A"/>
          <w:sz w:val="22"/>
          <w:szCs w:val="22"/>
          <w:lang w:val="mi-NZ"/>
        </w:rPr>
        <w:t xml:space="preserve">| </w:t>
      </w:r>
      <w:r w:rsidRPr="00DB1BC1">
        <w:rPr>
          <w:rFonts w:ascii="Century Gothic" w:hAnsi="Century Gothic" w:cs="Calibri"/>
          <w:color w:val="44546A"/>
          <w:sz w:val="22"/>
          <w:szCs w:val="22"/>
        </w:rPr>
        <w:t>The University of Waikato</w:t>
      </w:r>
    </w:p>
    <w:p w14:paraId="09AAFA74" w14:textId="77777777" w:rsidR="00691385" w:rsidRPr="00DB1BC1" w:rsidRDefault="00691385" w:rsidP="00691385">
      <w:pPr>
        <w:pStyle w:val="NormalWeb"/>
        <w:spacing w:before="0" w:beforeAutospacing="0" w:after="0" w:afterAutospacing="0" w:line="360" w:lineRule="auto"/>
        <w:rPr>
          <w:rFonts w:ascii="Century Gothic" w:hAnsi="Century Gothic" w:cs="Arial"/>
          <w:color w:val="44546A"/>
          <w:sz w:val="22"/>
          <w:szCs w:val="22"/>
        </w:rPr>
      </w:pPr>
      <w:r w:rsidRPr="00DB1BC1">
        <w:rPr>
          <w:rFonts w:ascii="Century Gothic" w:hAnsi="Century Gothic" w:cs="Calibri"/>
          <w:color w:val="44546A"/>
          <w:sz w:val="22"/>
          <w:szCs w:val="22"/>
        </w:rPr>
        <w:t>Private Bag 3105 </w:t>
      </w:r>
      <w:r w:rsidRPr="00DB1BC1">
        <w:rPr>
          <w:rFonts w:ascii="Century Gothic" w:hAnsi="Century Gothic" w:cs="Calibri"/>
          <w:b/>
          <w:bCs/>
          <w:color w:val="44546A"/>
          <w:sz w:val="22"/>
          <w:szCs w:val="22"/>
          <w:lang w:val="mi-NZ"/>
        </w:rPr>
        <w:t xml:space="preserve">| </w:t>
      </w:r>
      <w:r w:rsidRPr="00DB1BC1">
        <w:rPr>
          <w:rFonts w:ascii="Century Gothic" w:hAnsi="Century Gothic" w:cs="Calibri"/>
          <w:color w:val="44546A"/>
          <w:sz w:val="22"/>
          <w:szCs w:val="22"/>
          <w:lang w:val="mi-NZ"/>
        </w:rPr>
        <w:t xml:space="preserve">Hamilton 3240 </w:t>
      </w:r>
      <w:r w:rsidRPr="00DB1BC1">
        <w:rPr>
          <w:rFonts w:ascii="Century Gothic" w:hAnsi="Century Gothic" w:cs="Calibri"/>
          <w:b/>
          <w:bCs/>
          <w:color w:val="44546A"/>
          <w:sz w:val="22"/>
          <w:szCs w:val="22"/>
          <w:lang w:val="mi-NZ"/>
        </w:rPr>
        <w:t xml:space="preserve">| </w:t>
      </w:r>
      <w:r w:rsidRPr="00DB1BC1">
        <w:rPr>
          <w:rFonts w:ascii="Century Gothic" w:hAnsi="Century Gothic" w:cs="Calibri"/>
          <w:color w:val="44546A"/>
          <w:sz w:val="22"/>
          <w:szCs w:val="22"/>
        </w:rPr>
        <w:t>Waikato, New Zealand</w:t>
      </w:r>
    </w:p>
    <w:p w14:paraId="7F56E644" w14:textId="3D397363" w:rsidR="00691385" w:rsidRPr="00DB1BC1" w:rsidRDefault="00691385" w:rsidP="002B2A85">
      <w:pPr>
        <w:pStyle w:val="NormalWeb"/>
        <w:spacing w:before="0" w:beforeAutospacing="0" w:after="0" w:afterAutospacing="0" w:line="360" w:lineRule="auto"/>
        <w:rPr>
          <w:rFonts w:ascii="Century Gothic" w:hAnsi="Century Gothic" w:cs="Arial"/>
          <w:color w:val="44546A"/>
          <w:sz w:val="22"/>
          <w:szCs w:val="22"/>
        </w:rPr>
      </w:pPr>
      <w:r w:rsidRPr="00DB1BC1">
        <w:rPr>
          <w:rFonts w:ascii="Century Gothic" w:hAnsi="Century Gothic" w:cs="Calibri"/>
          <w:color w:val="44546A"/>
          <w:sz w:val="22"/>
          <w:szCs w:val="22"/>
          <w:lang w:val="mi-NZ"/>
        </w:rPr>
        <w:t>Email: </w:t>
      </w:r>
      <w:r w:rsidR="00FD6EDA">
        <w:fldChar w:fldCharType="begin"/>
      </w:r>
      <w:r w:rsidR="00FD6EDA">
        <w:instrText xml:space="preserve"> HYPERLINK "mailto:tahu.kukutai@waikato.ac.nz" </w:instrText>
      </w:r>
      <w:r w:rsidR="00FD6EDA">
        <w:fldChar w:fldCharType="separate"/>
      </w:r>
      <w:r w:rsidR="002B2A85" w:rsidRPr="009E6F35">
        <w:rPr>
          <w:rStyle w:val="Hyperlink"/>
          <w:rFonts w:ascii="Century Gothic" w:hAnsi="Century Gothic" w:cs="Calibri"/>
          <w:sz w:val="22"/>
          <w:szCs w:val="22"/>
          <w:lang w:val="mi-NZ"/>
        </w:rPr>
        <w:t>tahu.kukutai@waikato.ac.nz</w:t>
      </w:r>
      <w:r w:rsidR="00FD6EDA">
        <w:rPr>
          <w:rStyle w:val="Hyperlink"/>
          <w:rFonts w:ascii="Century Gothic" w:hAnsi="Century Gothic" w:cs="Calibri"/>
          <w:sz w:val="22"/>
          <w:szCs w:val="22"/>
          <w:lang w:val="mi-NZ"/>
        </w:rPr>
        <w:fldChar w:fldCharType="end"/>
      </w:r>
      <w:r w:rsidRPr="00DB1BC1">
        <w:rPr>
          <w:rFonts w:ascii="Century Gothic" w:hAnsi="Century Gothic" w:cs="Calibri"/>
          <w:color w:val="44546A"/>
          <w:sz w:val="22"/>
          <w:szCs w:val="22"/>
          <w:lang w:val="mi-NZ"/>
        </w:rPr>
        <w:t xml:space="preserve"> </w:t>
      </w:r>
      <w:r w:rsidRPr="00DB1BC1">
        <w:rPr>
          <w:rFonts w:ascii="Century Gothic" w:hAnsi="Century Gothic" w:cs="Calibri"/>
          <w:b/>
          <w:bCs/>
          <w:color w:val="44546A"/>
          <w:sz w:val="22"/>
          <w:szCs w:val="22"/>
          <w:lang w:val="mi-NZ"/>
        </w:rPr>
        <w:t>|</w:t>
      </w:r>
      <w:r w:rsidRPr="00DB1BC1">
        <w:rPr>
          <w:rFonts w:ascii="Century Gothic" w:hAnsi="Century Gothic" w:cs="Calibri"/>
          <w:color w:val="44546A"/>
          <w:sz w:val="22"/>
          <w:szCs w:val="22"/>
          <w:lang w:val="mi-NZ"/>
        </w:rPr>
        <w:t> visit us at:  </w:t>
      </w:r>
      <w:r w:rsidR="00FD6EDA">
        <w:fldChar w:fldCharType="begin"/>
      </w:r>
      <w:r w:rsidR="00FD6EDA">
        <w:instrText xml:space="preserve"> HYPERLINK "http://www.waikato.ac.nz/nidea" \t "_blank" </w:instrText>
      </w:r>
      <w:r w:rsidR="00FD6EDA">
        <w:fldChar w:fldCharType="separate"/>
      </w:r>
      <w:r w:rsidRPr="00DB1BC1">
        <w:rPr>
          <w:rStyle w:val="Hyperlink"/>
          <w:rFonts w:ascii="Century Gothic" w:hAnsi="Century Gothic" w:cs="Calibri"/>
          <w:color w:val="44546A"/>
          <w:sz w:val="22"/>
          <w:szCs w:val="22"/>
          <w:lang w:val="mi-NZ"/>
        </w:rPr>
        <w:t>www.waikato.ac.nz/nidea</w:t>
      </w:r>
      <w:r w:rsidR="00FD6EDA">
        <w:rPr>
          <w:rStyle w:val="Hyperlink"/>
          <w:rFonts w:ascii="Century Gothic" w:hAnsi="Century Gothic" w:cs="Calibri"/>
          <w:color w:val="44546A"/>
          <w:sz w:val="22"/>
          <w:szCs w:val="22"/>
          <w:lang w:val="mi-NZ"/>
        </w:rPr>
        <w:fldChar w:fldCharType="end"/>
      </w:r>
      <w:r w:rsidRPr="00DB1BC1">
        <w:rPr>
          <w:rFonts w:ascii="Century Gothic" w:hAnsi="Century Gothic" w:cs="Calibri"/>
          <w:color w:val="44546A"/>
          <w:sz w:val="22"/>
          <w:szCs w:val="22"/>
          <w:lang w:val="mi-NZ"/>
        </w:rPr>
        <w:t>/</w:t>
      </w:r>
    </w:p>
    <w:p w14:paraId="43CCAC66" w14:textId="77777777" w:rsidR="00691385" w:rsidRPr="005E601C" w:rsidRDefault="00691385" w:rsidP="00691385">
      <w:pPr>
        <w:spacing w:after="0" w:line="360" w:lineRule="auto"/>
        <w:rPr>
          <w:rFonts w:ascii="Century Gothic" w:hAnsi="Century Gothic"/>
          <w:b/>
          <w:bCs/>
          <w:color w:val="44546A"/>
          <w:sz w:val="26"/>
          <w:szCs w:val="26"/>
        </w:rPr>
      </w:pPr>
    </w:p>
    <w:p w14:paraId="1DFE9BE6" w14:textId="77777777" w:rsidR="00DB1BC1" w:rsidRDefault="00DB1BC1"/>
    <w:p w14:paraId="4BAF8E09" w14:textId="3A3727AB" w:rsidR="00691385" w:rsidRDefault="00691385"/>
    <w:p w14:paraId="28E8D40D" w14:textId="77777777" w:rsidR="00691385" w:rsidRDefault="00691385"/>
    <w:p w14:paraId="7370C6C0" w14:textId="77777777" w:rsidR="00DB1BC1" w:rsidRDefault="00DB1BC1" w:rsidP="00DB1BC1"/>
    <w:p w14:paraId="4885966E" w14:textId="77777777" w:rsidR="006001B0" w:rsidRDefault="006001B0" w:rsidP="00DB1BC1"/>
    <w:p w14:paraId="47E8DC57" w14:textId="77777777" w:rsidR="00691385" w:rsidRDefault="00691385" w:rsidP="00DB1BC1"/>
    <w:p w14:paraId="4B59E267" w14:textId="77777777" w:rsidR="00DB1BC1" w:rsidRPr="005E601C" w:rsidRDefault="00DB1BC1" w:rsidP="00DB1BC1">
      <w:pPr>
        <w:spacing w:after="0" w:line="360" w:lineRule="auto"/>
        <w:rPr>
          <w:rFonts w:ascii="Century Gothic" w:hAnsi="Century Gothic"/>
          <w:b/>
          <w:bCs/>
          <w:color w:val="4EAFC6"/>
          <w:sz w:val="26"/>
          <w:szCs w:val="26"/>
        </w:rPr>
      </w:pPr>
      <w:r w:rsidRPr="005E601C">
        <w:rPr>
          <w:rFonts w:ascii="Century Gothic" w:hAnsi="Century Gothic"/>
          <w:b/>
          <w:bCs/>
          <w:color w:val="4EAFC6"/>
          <w:sz w:val="26"/>
          <w:szCs w:val="26"/>
        </w:rPr>
        <w:t>Disclaimer</w:t>
      </w:r>
    </w:p>
    <w:p w14:paraId="524F595E" w14:textId="77777777" w:rsidR="00AA3DD6" w:rsidRDefault="00DB1BC1" w:rsidP="003D3BD4">
      <w:pPr>
        <w:spacing w:after="0" w:line="360" w:lineRule="auto"/>
        <w:rPr>
          <w:rFonts w:ascii="Century Gothic" w:eastAsia="Times New Roman" w:hAnsi="Century Gothic" w:cs="Calibri"/>
          <w:sz w:val="21"/>
          <w:szCs w:val="21"/>
          <w:lang w:eastAsia="en-NZ"/>
        </w:rPr>
      </w:pPr>
      <w:r w:rsidRPr="000C072D">
        <w:rPr>
          <w:rFonts w:ascii="Century Gothic" w:eastAsia="Times New Roman" w:hAnsi="Century Gothic" w:cs="Calibri"/>
          <w:sz w:val="21"/>
          <w:szCs w:val="21"/>
          <w:lang w:eastAsia="en-NZ"/>
        </w:rPr>
        <w:t>While all reasonable care has been taken to ensure that information contained in this document is true and accurate at the time of publication/release, changed circumstances after publication may impact on the accuracy of that information. </w:t>
      </w:r>
      <w:r w:rsidRPr="003D3BD4">
        <w:rPr>
          <w:rFonts w:ascii="Century Gothic" w:eastAsia="Times New Roman" w:hAnsi="Century Gothic" w:cs="Calibri"/>
          <w:sz w:val="21"/>
          <w:szCs w:val="21"/>
          <w:lang w:eastAsia="en-NZ"/>
        </w:rPr>
        <w:t xml:space="preserve"> </w:t>
      </w:r>
      <w:r w:rsidR="003D3BD4" w:rsidRPr="003D3BD4">
        <w:rPr>
          <w:rFonts w:ascii="Century Gothic" w:eastAsia="Times New Roman" w:hAnsi="Century Gothic" w:cs="Calibri"/>
          <w:sz w:val="21"/>
          <w:szCs w:val="21"/>
          <w:lang w:eastAsia="en-NZ"/>
        </w:rPr>
        <w:t xml:space="preserve">We shall not be liable for any loss suffered through the use, directly or indirectly, of any information contained in this report. </w:t>
      </w:r>
    </w:p>
    <w:p w14:paraId="59465534" w14:textId="77777777" w:rsidR="00B4026B" w:rsidRDefault="00B4026B">
      <w:pPr>
        <w:rPr>
          <w:rFonts w:ascii="Century Gothic" w:hAnsi="Century Gothic"/>
          <w:b/>
          <w:bCs/>
          <w:color w:val="44546A"/>
          <w:sz w:val="32"/>
          <w:szCs w:val="32"/>
        </w:rPr>
      </w:pPr>
      <w:r>
        <w:rPr>
          <w:rFonts w:ascii="Century Gothic" w:hAnsi="Century Gothic"/>
          <w:b/>
          <w:bCs/>
          <w:color w:val="44546A"/>
          <w:sz w:val="32"/>
          <w:szCs w:val="32"/>
        </w:rPr>
        <w:br w:type="page"/>
      </w:r>
    </w:p>
    <w:p w14:paraId="49243DB8" w14:textId="6A3047FB" w:rsidR="00691385" w:rsidRPr="00E210D6" w:rsidRDefault="00691385" w:rsidP="00691385">
      <w:pPr>
        <w:rPr>
          <w:rFonts w:ascii="Century Gothic" w:hAnsi="Century Gothic"/>
          <w:b/>
          <w:bCs/>
          <w:color w:val="44546A"/>
          <w:sz w:val="32"/>
          <w:szCs w:val="32"/>
        </w:rPr>
      </w:pPr>
      <w:r w:rsidRPr="00E210D6">
        <w:rPr>
          <w:rFonts w:ascii="Century Gothic" w:hAnsi="Century Gothic"/>
          <w:b/>
          <w:bCs/>
          <w:color w:val="44546A"/>
          <w:sz w:val="32"/>
          <w:szCs w:val="32"/>
        </w:rPr>
        <w:lastRenderedPageBreak/>
        <w:t>Table of Contents</w:t>
      </w:r>
      <w:r w:rsidR="00174BCB">
        <w:rPr>
          <w:rFonts w:ascii="Century Gothic" w:hAnsi="Century Gothic"/>
          <w:b/>
          <w:bCs/>
          <w:color w:val="44546A"/>
          <w:sz w:val="32"/>
          <w:szCs w:val="32"/>
        </w:rPr>
        <w:t xml:space="preserve"> </w:t>
      </w:r>
    </w:p>
    <w:p w14:paraId="10C350E0" w14:textId="4FB7C831" w:rsidR="00296434" w:rsidRDefault="006A3A3C">
      <w:pPr>
        <w:pStyle w:val="TOC1"/>
        <w:tabs>
          <w:tab w:val="right" w:leader="dot" w:pos="9911"/>
        </w:tabs>
        <w:rPr>
          <w:rFonts w:cstheme="minorBidi"/>
          <w:b w:val="0"/>
          <w:bCs w:val="0"/>
          <w:noProof/>
          <w:sz w:val="22"/>
          <w:szCs w:val="22"/>
        </w:rPr>
      </w:pPr>
      <w:r>
        <w:rPr>
          <w:rFonts w:ascii="Century Gothic" w:hAnsi="Century Gothic"/>
          <w:b w:val="0"/>
          <w:bCs w:val="0"/>
          <w:color w:val="44546A"/>
          <w:sz w:val="24"/>
        </w:rPr>
        <w:fldChar w:fldCharType="begin"/>
      </w:r>
      <w:r>
        <w:rPr>
          <w:rFonts w:ascii="Century Gothic" w:hAnsi="Century Gothic"/>
          <w:b w:val="0"/>
          <w:bCs w:val="0"/>
          <w:color w:val="44546A"/>
          <w:sz w:val="24"/>
        </w:rPr>
        <w:instrText xml:space="preserve"> TOC \o "1-4" \h \z \u </w:instrText>
      </w:r>
      <w:r>
        <w:rPr>
          <w:rFonts w:ascii="Century Gothic" w:hAnsi="Century Gothic"/>
          <w:b w:val="0"/>
          <w:bCs w:val="0"/>
          <w:color w:val="44546A"/>
          <w:sz w:val="24"/>
        </w:rPr>
        <w:fldChar w:fldCharType="separate"/>
      </w:r>
      <w:hyperlink w:anchor="_Toc491783035" w:history="1">
        <w:r w:rsidR="00296434" w:rsidRPr="007B62EF">
          <w:rPr>
            <w:rStyle w:val="Hyperlink"/>
            <w:rFonts w:ascii="Century Gothic" w:hAnsi="Century Gothic"/>
            <w:noProof/>
          </w:rPr>
          <w:t>Executive Summary</w:t>
        </w:r>
        <w:r w:rsidR="00296434">
          <w:rPr>
            <w:noProof/>
            <w:webHidden/>
          </w:rPr>
          <w:tab/>
        </w:r>
        <w:r w:rsidR="00296434">
          <w:rPr>
            <w:noProof/>
            <w:webHidden/>
          </w:rPr>
          <w:fldChar w:fldCharType="begin"/>
        </w:r>
        <w:r w:rsidR="00296434">
          <w:rPr>
            <w:noProof/>
            <w:webHidden/>
          </w:rPr>
          <w:instrText xml:space="preserve"> PAGEREF _Toc491783035 \h </w:instrText>
        </w:r>
        <w:r w:rsidR="00296434">
          <w:rPr>
            <w:noProof/>
            <w:webHidden/>
          </w:rPr>
        </w:r>
        <w:r w:rsidR="00296434">
          <w:rPr>
            <w:noProof/>
            <w:webHidden/>
          </w:rPr>
          <w:fldChar w:fldCharType="separate"/>
        </w:r>
        <w:r w:rsidR="00296434">
          <w:rPr>
            <w:noProof/>
            <w:webHidden/>
          </w:rPr>
          <w:t>1</w:t>
        </w:r>
        <w:r w:rsidR="00296434">
          <w:rPr>
            <w:noProof/>
            <w:webHidden/>
          </w:rPr>
          <w:fldChar w:fldCharType="end"/>
        </w:r>
      </w:hyperlink>
    </w:p>
    <w:p w14:paraId="3002639D" w14:textId="382877C0" w:rsidR="00296434" w:rsidRDefault="00FD6EDA">
      <w:pPr>
        <w:pStyle w:val="TOC1"/>
        <w:tabs>
          <w:tab w:val="right" w:leader="dot" w:pos="9911"/>
        </w:tabs>
        <w:rPr>
          <w:rFonts w:cstheme="minorBidi"/>
          <w:b w:val="0"/>
          <w:bCs w:val="0"/>
          <w:noProof/>
          <w:sz w:val="22"/>
          <w:szCs w:val="22"/>
        </w:rPr>
      </w:pPr>
      <w:hyperlink w:anchor="_Toc491783036" w:history="1">
        <w:r w:rsidR="00296434" w:rsidRPr="007B62EF">
          <w:rPr>
            <w:rStyle w:val="Hyperlink"/>
            <w:rFonts w:ascii="Century Gothic" w:hAnsi="Century Gothic"/>
            <w:noProof/>
            <w:lang w:val="it-IT"/>
          </w:rPr>
          <w:t>Introduction</w:t>
        </w:r>
        <w:r w:rsidR="00296434">
          <w:rPr>
            <w:noProof/>
            <w:webHidden/>
          </w:rPr>
          <w:tab/>
        </w:r>
        <w:r w:rsidR="00296434">
          <w:rPr>
            <w:noProof/>
            <w:webHidden/>
          </w:rPr>
          <w:fldChar w:fldCharType="begin"/>
        </w:r>
        <w:r w:rsidR="00296434">
          <w:rPr>
            <w:noProof/>
            <w:webHidden/>
          </w:rPr>
          <w:instrText xml:space="preserve"> PAGEREF _Toc491783036 \h </w:instrText>
        </w:r>
        <w:r w:rsidR="00296434">
          <w:rPr>
            <w:noProof/>
            <w:webHidden/>
          </w:rPr>
        </w:r>
        <w:r w:rsidR="00296434">
          <w:rPr>
            <w:noProof/>
            <w:webHidden/>
          </w:rPr>
          <w:fldChar w:fldCharType="separate"/>
        </w:r>
        <w:r w:rsidR="00296434">
          <w:rPr>
            <w:noProof/>
            <w:webHidden/>
          </w:rPr>
          <w:t>7</w:t>
        </w:r>
        <w:r w:rsidR="00296434">
          <w:rPr>
            <w:noProof/>
            <w:webHidden/>
          </w:rPr>
          <w:fldChar w:fldCharType="end"/>
        </w:r>
      </w:hyperlink>
    </w:p>
    <w:p w14:paraId="66B44763" w14:textId="6C976316" w:rsidR="00296434" w:rsidRDefault="00FD6EDA">
      <w:pPr>
        <w:pStyle w:val="TOC2"/>
        <w:tabs>
          <w:tab w:val="right" w:leader="dot" w:pos="9911"/>
        </w:tabs>
        <w:rPr>
          <w:rFonts w:cstheme="minorBidi"/>
          <w:i w:val="0"/>
          <w:iCs w:val="0"/>
          <w:noProof/>
          <w:sz w:val="22"/>
          <w:szCs w:val="22"/>
        </w:rPr>
      </w:pPr>
      <w:hyperlink w:anchor="_Toc491783037" w:history="1">
        <w:r w:rsidR="00296434" w:rsidRPr="007B62EF">
          <w:rPr>
            <w:rStyle w:val="Hyperlink"/>
            <w:rFonts w:ascii="Century Gothic" w:hAnsi="Century Gothic"/>
            <w:b/>
            <w:bCs/>
            <w:noProof/>
            <w:lang w:val="it-IT"/>
          </w:rPr>
          <w:t>Ngāi Tāmanuhiri</w:t>
        </w:r>
        <w:r w:rsidR="00296434">
          <w:rPr>
            <w:noProof/>
            <w:webHidden/>
          </w:rPr>
          <w:tab/>
        </w:r>
        <w:r w:rsidR="00296434">
          <w:rPr>
            <w:noProof/>
            <w:webHidden/>
          </w:rPr>
          <w:fldChar w:fldCharType="begin"/>
        </w:r>
        <w:r w:rsidR="00296434">
          <w:rPr>
            <w:noProof/>
            <w:webHidden/>
          </w:rPr>
          <w:instrText xml:space="preserve"> PAGEREF _Toc491783037 \h </w:instrText>
        </w:r>
        <w:r w:rsidR="00296434">
          <w:rPr>
            <w:noProof/>
            <w:webHidden/>
          </w:rPr>
        </w:r>
        <w:r w:rsidR="00296434">
          <w:rPr>
            <w:noProof/>
            <w:webHidden/>
          </w:rPr>
          <w:fldChar w:fldCharType="separate"/>
        </w:r>
        <w:r w:rsidR="00296434">
          <w:rPr>
            <w:noProof/>
            <w:webHidden/>
          </w:rPr>
          <w:t>7</w:t>
        </w:r>
        <w:r w:rsidR="00296434">
          <w:rPr>
            <w:noProof/>
            <w:webHidden/>
          </w:rPr>
          <w:fldChar w:fldCharType="end"/>
        </w:r>
      </w:hyperlink>
    </w:p>
    <w:p w14:paraId="2D239A80" w14:textId="2931B8B6" w:rsidR="00296434" w:rsidRDefault="00FD6EDA">
      <w:pPr>
        <w:pStyle w:val="TOC2"/>
        <w:tabs>
          <w:tab w:val="right" w:leader="dot" w:pos="9911"/>
        </w:tabs>
        <w:rPr>
          <w:rFonts w:cstheme="minorBidi"/>
          <w:i w:val="0"/>
          <w:iCs w:val="0"/>
          <w:noProof/>
          <w:sz w:val="22"/>
          <w:szCs w:val="22"/>
        </w:rPr>
      </w:pPr>
      <w:hyperlink w:anchor="_Toc491783038" w:history="1">
        <w:r w:rsidR="00296434" w:rsidRPr="007B62EF">
          <w:rPr>
            <w:rStyle w:val="Hyperlink"/>
            <w:rFonts w:ascii="Century Gothic" w:hAnsi="Century Gothic"/>
            <w:b/>
            <w:bCs/>
            <w:noProof/>
          </w:rPr>
          <w:t>The need for relevant, high-quality data</w:t>
        </w:r>
        <w:r w:rsidR="00296434">
          <w:rPr>
            <w:noProof/>
            <w:webHidden/>
          </w:rPr>
          <w:tab/>
        </w:r>
        <w:r w:rsidR="00296434">
          <w:rPr>
            <w:noProof/>
            <w:webHidden/>
          </w:rPr>
          <w:fldChar w:fldCharType="begin"/>
        </w:r>
        <w:r w:rsidR="00296434">
          <w:rPr>
            <w:noProof/>
            <w:webHidden/>
          </w:rPr>
          <w:instrText xml:space="preserve"> PAGEREF _Toc491783038 \h </w:instrText>
        </w:r>
        <w:r w:rsidR="00296434">
          <w:rPr>
            <w:noProof/>
            <w:webHidden/>
          </w:rPr>
        </w:r>
        <w:r w:rsidR="00296434">
          <w:rPr>
            <w:noProof/>
            <w:webHidden/>
          </w:rPr>
          <w:fldChar w:fldCharType="separate"/>
        </w:r>
        <w:r w:rsidR="00296434">
          <w:rPr>
            <w:noProof/>
            <w:webHidden/>
          </w:rPr>
          <w:t>8</w:t>
        </w:r>
        <w:r w:rsidR="00296434">
          <w:rPr>
            <w:noProof/>
            <w:webHidden/>
          </w:rPr>
          <w:fldChar w:fldCharType="end"/>
        </w:r>
      </w:hyperlink>
    </w:p>
    <w:p w14:paraId="49EAEBCD" w14:textId="298FFE6D" w:rsidR="00296434" w:rsidRDefault="00FD6EDA">
      <w:pPr>
        <w:pStyle w:val="TOC2"/>
        <w:tabs>
          <w:tab w:val="right" w:leader="dot" w:pos="9911"/>
        </w:tabs>
        <w:rPr>
          <w:rFonts w:cstheme="minorBidi"/>
          <w:i w:val="0"/>
          <w:iCs w:val="0"/>
          <w:noProof/>
          <w:sz w:val="22"/>
          <w:szCs w:val="22"/>
        </w:rPr>
      </w:pPr>
      <w:hyperlink w:anchor="_Toc491783039" w:history="1">
        <w:r w:rsidR="00296434" w:rsidRPr="007B62EF">
          <w:rPr>
            <w:rStyle w:val="Hyperlink"/>
            <w:rFonts w:ascii="Century Gothic" w:hAnsi="Century Gothic"/>
            <w:b/>
            <w:bCs/>
            <w:noProof/>
          </w:rPr>
          <w:t>Report scope and structure</w:t>
        </w:r>
        <w:r w:rsidR="00296434">
          <w:rPr>
            <w:noProof/>
            <w:webHidden/>
          </w:rPr>
          <w:tab/>
        </w:r>
        <w:r w:rsidR="00296434">
          <w:rPr>
            <w:noProof/>
            <w:webHidden/>
          </w:rPr>
          <w:fldChar w:fldCharType="begin"/>
        </w:r>
        <w:r w:rsidR="00296434">
          <w:rPr>
            <w:noProof/>
            <w:webHidden/>
          </w:rPr>
          <w:instrText xml:space="preserve"> PAGEREF _Toc491783039 \h </w:instrText>
        </w:r>
        <w:r w:rsidR="00296434">
          <w:rPr>
            <w:noProof/>
            <w:webHidden/>
          </w:rPr>
        </w:r>
        <w:r w:rsidR="00296434">
          <w:rPr>
            <w:noProof/>
            <w:webHidden/>
          </w:rPr>
          <w:fldChar w:fldCharType="separate"/>
        </w:r>
        <w:r w:rsidR="00296434">
          <w:rPr>
            <w:noProof/>
            <w:webHidden/>
          </w:rPr>
          <w:t>10</w:t>
        </w:r>
        <w:r w:rsidR="00296434">
          <w:rPr>
            <w:noProof/>
            <w:webHidden/>
          </w:rPr>
          <w:fldChar w:fldCharType="end"/>
        </w:r>
      </w:hyperlink>
    </w:p>
    <w:p w14:paraId="5465065E" w14:textId="0043BCEC" w:rsidR="00296434" w:rsidRDefault="00FD6EDA">
      <w:pPr>
        <w:pStyle w:val="TOC2"/>
        <w:tabs>
          <w:tab w:val="right" w:leader="dot" w:pos="9911"/>
        </w:tabs>
        <w:rPr>
          <w:rFonts w:cstheme="minorBidi"/>
          <w:i w:val="0"/>
          <w:iCs w:val="0"/>
          <w:noProof/>
          <w:sz w:val="22"/>
          <w:szCs w:val="22"/>
        </w:rPr>
      </w:pPr>
      <w:hyperlink w:anchor="_Toc491783040" w:history="1">
        <w:r w:rsidR="00296434" w:rsidRPr="007B62EF">
          <w:rPr>
            <w:rStyle w:val="Hyperlink"/>
            <w:rFonts w:ascii="Century Gothic" w:hAnsi="Century Gothic"/>
            <w:b/>
            <w:bCs/>
            <w:noProof/>
          </w:rPr>
          <w:t>Data sources</w:t>
        </w:r>
        <w:r w:rsidR="00296434">
          <w:rPr>
            <w:noProof/>
            <w:webHidden/>
          </w:rPr>
          <w:tab/>
        </w:r>
        <w:r w:rsidR="00296434">
          <w:rPr>
            <w:noProof/>
            <w:webHidden/>
          </w:rPr>
          <w:fldChar w:fldCharType="begin"/>
        </w:r>
        <w:r w:rsidR="00296434">
          <w:rPr>
            <w:noProof/>
            <w:webHidden/>
          </w:rPr>
          <w:instrText xml:space="preserve"> PAGEREF _Toc491783040 \h </w:instrText>
        </w:r>
        <w:r w:rsidR="00296434">
          <w:rPr>
            <w:noProof/>
            <w:webHidden/>
          </w:rPr>
        </w:r>
        <w:r w:rsidR="00296434">
          <w:rPr>
            <w:noProof/>
            <w:webHidden/>
          </w:rPr>
          <w:fldChar w:fldCharType="separate"/>
        </w:r>
        <w:r w:rsidR="00296434">
          <w:rPr>
            <w:noProof/>
            <w:webHidden/>
          </w:rPr>
          <w:t>10</w:t>
        </w:r>
        <w:r w:rsidR="00296434">
          <w:rPr>
            <w:noProof/>
            <w:webHidden/>
          </w:rPr>
          <w:fldChar w:fldCharType="end"/>
        </w:r>
      </w:hyperlink>
    </w:p>
    <w:p w14:paraId="42B21765" w14:textId="365E54B3" w:rsidR="00296434" w:rsidRDefault="00FD6EDA">
      <w:pPr>
        <w:pStyle w:val="TOC1"/>
        <w:tabs>
          <w:tab w:val="left" w:pos="440"/>
          <w:tab w:val="right" w:leader="dot" w:pos="9911"/>
        </w:tabs>
        <w:rPr>
          <w:rFonts w:cstheme="minorBidi"/>
          <w:b w:val="0"/>
          <w:bCs w:val="0"/>
          <w:noProof/>
          <w:sz w:val="22"/>
          <w:szCs w:val="22"/>
        </w:rPr>
      </w:pPr>
      <w:hyperlink w:anchor="_Toc491783041" w:history="1">
        <w:r w:rsidR="00296434" w:rsidRPr="007B62EF">
          <w:rPr>
            <w:rStyle w:val="Hyperlink"/>
            <w:rFonts w:ascii="Century Gothic" w:hAnsi="Century Gothic"/>
            <w:noProof/>
          </w:rPr>
          <w:t>1</w:t>
        </w:r>
        <w:r w:rsidR="00296434">
          <w:rPr>
            <w:rFonts w:cstheme="minorBidi"/>
            <w:b w:val="0"/>
            <w:bCs w:val="0"/>
            <w:noProof/>
            <w:sz w:val="22"/>
            <w:szCs w:val="22"/>
          </w:rPr>
          <w:tab/>
        </w:r>
        <w:r w:rsidR="00296434" w:rsidRPr="007B62EF">
          <w:rPr>
            <w:rStyle w:val="Hyperlink"/>
            <w:rFonts w:ascii="Century Gothic" w:hAnsi="Century Gothic"/>
            <w:noProof/>
          </w:rPr>
          <w:t>Population Trends</w:t>
        </w:r>
        <w:r w:rsidR="00296434">
          <w:rPr>
            <w:noProof/>
            <w:webHidden/>
          </w:rPr>
          <w:tab/>
        </w:r>
        <w:r w:rsidR="00296434">
          <w:rPr>
            <w:noProof/>
            <w:webHidden/>
          </w:rPr>
          <w:fldChar w:fldCharType="begin"/>
        </w:r>
        <w:r w:rsidR="00296434">
          <w:rPr>
            <w:noProof/>
            <w:webHidden/>
          </w:rPr>
          <w:instrText xml:space="preserve"> PAGEREF _Toc491783041 \h </w:instrText>
        </w:r>
        <w:r w:rsidR="00296434">
          <w:rPr>
            <w:noProof/>
            <w:webHidden/>
          </w:rPr>
        </w:r>
        <w:r w:rsidR="00296434">
          <w:rPr>
            <w:noProof/>
            <w:webHidden/>
          </w:rPr>
          <w:fldChar w:fldCharType="separate"/>
        </w:r>
        <w:r w:rsidR="00296434">
          <w:rPr>
            <w:noProof/>
            <w:webHidden/>
          </w:rPr>
          <w:t>11</w:t>
        </w:r>
        <w:r w:rsidR="00296434">
          <w:rPr>
            <w:noProof/>
            <w:webHidden/>
          </w:rPr>
          <w:fldChar w:fldCharType="end"/>
        </w:r>
      </w:hyperlink>
    </w:p>
    <w:p w14:paraId="45384FF6" w14:textId="6CE9BDC9" w:rsidR="00296434" w:rsidRDefault="00FD6EDA">
      <w:pPr>
        <w:pStyle w:val="TOC2"/>
        <w:tabs>
          <w:tab w:val="left" w:pos="880"/>
          <w:tab w:val="right" w:leader="dot" w:pos="9911"/>
        </w:tabs>
        <w:rPr>
          <w:rFonts w:cstheme="minorBidi"/>
          <w:i w:val="0"/>
          <w:iCs w:val="0"/>
          <w:noProof/>
          <w:sz w:val="22"/>
          <w:szCs w:val="22"/>
        </w:rPr>
      </w:pPr>
      <w:hyperlink w:anchor="_Toc491783042" w:history="1">
        <w:r w:rsidR="00296434" w:rsidRPr="007B62EF">
          <w:rPr>
            <w:rStyle w:val="Hyperlink"/>
            <w:rFonts w:ascii="Century Gothic" w:hAnsi="Century Gothic"/>
            <w:b/>
            <w:bCs/>
            <w:noProof/>
          </w:rPr>
          <w:t>1.1</w:t>
        </w:r>
        <w:r w:rsidR="00296434">
          <w:rPr>
            <w:rFonts w:cstheme="minorBidi"/>
            <w:i w:val="0"/>
            <w:iCs w:val="0"/>
            <w:noProof/>
            <w:sz w:val="22"/>
            <w:szCs w:val="22"/>
          </w:rPr>
          <w:tab/>
        </w:r>
        <w:r w:rsidR="00296434" w:rsidRPr="007B62EF">
          <w:rPr>
            <w:rStyle w:val="Hyperlink"/>
            <w:rFonts w:ascii="Century Gothic" w:hAnsi="Century Gothic"/>
            <w:b/>
            <w:bCs/>
            <w:noProof/>
          </w:rPr>
          <w:t>Iwi population growth</w:t>
        </w:r>
        <w:r w:rsidR="00296434">
          <w:rPr>
            <w:noProof/>
            <w:webHidden/>
          </w:rPr>
          <w:tab/>
        </w:r>
        <w:r w:rsidR="00296434">
          <w:rPr>
            <w:noProof/>
            <w:webHidden/>
          </w:rPr>
          <w:fldChar w:fldCharType="begin"/>
        </w:r>
        <w:r w:rsidR="00296434">
          <w:rPr>
            <w:noProof/>
            <w:webHidden/>
          </w:rPr>
          <w:instrText xml:space="preserve"> PAGEREF _Toc491783042 \h </w:instrText>
        </w:r>
        <w:r w:rsidR="00296434">
          <w:rPr>
            <w:noProof/>
            <w:webHidden/>
          </w:rPr>
        </w:r>
        <w:r w:rsidR="00296434">
          <w:rPr>
            <w:noProof/>
            <w:webHidden/>
          </w:rPr>
          <w:fldChar w:fldCharType="separate"/>
        </w:r>
        <w:r w:rsidR="00296434">
          <w:rPr>
            <w:noProof/>
            <w:webHidden/>
          </w:rPr>
          <w:t>11</w:t>
        </w:r>
        <w:r w:rsidR="00296434">
          <w:rPr>
            <w:noProof/>
            <w:webHidden/>
          </w:rPr>
          <w:fldChar w:fldCharType="end"/>
        </w:r>
      </w:hyperlink>
    </w:p>
    <w:p w14:paraId="1C607B24" w14:textId="753B4A5A" w:rsidR="00296434" w:rsidRDefault="00FD6EDA">
      <w:pPr>
        <w:pStyle w:val="TOC2"/>
        <w:tabs>
          <w:tab w:val="left" w:pos="880"/>
          <w:tab w:val="right" w:leader="dot" w:pos="9911"/>
        </w:tabs>
        <w:rPr>
          <w:rFonts w:cstheme="minorBidi"/>
          <w:i w:val="0"/>
          <w:iCs w:val="0"/>
          <w:noProof/>
          <w:sz w:val="22"/>
          <w:szCs w:val="22"/>
        </w:rPr>
      </w:pPr>
      <w:hyperlink w:anchor="_Toc491783043" w:history="1">
        <w:r w:rsidR="00296434" w:rsidRPr="007B62EF">
          <w:rPr>
            <w:rStyle w:val="Hyperlink"/>
            <w:rFonts w:ascii="Century Gothic" w:hAnsi="Century Gothic"/>
            <w:b/>
            <w:bCs/>
            <w:noProof/>
          </w:rPr>
          <w:t>1.2</w:t>
        </w:r>
        <w:r w:rsidR="00296434">
          <w:rPr>
            <w:rFonts w:cstheme="minorBidi"/>
            <w:i w:val="0"/>
            <w:iCs w:val="0"/>
            <w:noProof/>
            <w:sz w:val="22"/>
            <w:szCs w:val="22"/>
          </w:rPr>
          <w:tab/>
        </w:r>
        <w:r w:rsidR="00296434" w:rsidRPr="007B62EF">
          <w:rPr>
            <w:rStyle w:val="Hyperlink"/>
            <w:rFonts w:ascii="Century Gothic" w:hAnsi="Century Gothic"/>
            <w:b/>
            <w:bCs/>
            <w:noProof/>
          </w:rPr>
          <w:t>Growth of te reo Māori speakers</w:t>
        </w:r>
        <w:r w:rsidR="00296434">
          <w:rPr>
            <w:noProof/>
            <w:webHidden/>
          </w:rPr>
          <w:tab/>
        </w:r>
        <w:r w:rsidR="00296434">
          <w:rPr>
            <w:noProof/>
            <w:webHidden/>
          </w:rPr>
          <w:fldChar w:fldCharType="begin"/>
        </w:r>
        <w:r w:rsidR="00296434">
          <w:rPr>
            <w:noProof/>
            <w:webHidden/>
          </w:rPr>
          <w:instrText xml:space="preserve"> PAGEREF _Toc491783043 \h </w:instrText>
        </w:r>
        <w:r w:rsidR="00296434">
          <w:rPr>
            <w:noProof/>
            <w:webHidden/>
          </w:rPr>
        </w:r>
        <w:r w:rsidR="00296434">
          <w:rPr>
            <w:noProof/>
            <w:webHidden/>
          </w:rPr>
          <w:fldChar w:fldCharType="separate"/>
        </w:r>
        <w:r w:rsidR="00296434">
          <w:rPr>
            <w:noProof/>
            <w:webHidden/>
          </w:rPr>
          <w:t>12</w:t>
        </w:r>
        <w:r w:rsidR="00296434">
          <w:rPr>
            <w:noProof/>
            <w:webHidden/>
          </w:rPr>
          <w:fldChar w:fldCharType="end"/>
        </w:r>
      </w:hyperlink>
    </w:p>
    <w:p w14:paraId="3C60E7B3" w14:textId="016C8F75" w:rsidR="00296434" w:rsidRDefault="00FD6EDA">
      <w:pPr>
        <w:pStyle w:val="TOC2"/>
        <w:tabs>
          <w:tab w:val="left" w:pos="880"/>
          <w:tab w:val="right" w:leader="dot" w:pos="9911"/>
        </w:tabs>
        <w:rPr>
          <w:rFonts w:cstheme="minorBidi"/>
          <w:i w:val="0"/>
          <w:iCs w:val="0"/>
          <w:noProof/>
          <w:sz w:val="22"/>
          <w:szCs w:val="22"/>
        </w:rPr>
      </w:pPr>
      <w:hyperlink w:anchor="_Toc491783044" w:history="1">
        <w:r w:rsidR="00296434" w:rsidRPr="007B62EF">
          <w:rPr>
            <w:rStyle w:val="Hyperlink"/>
            <w:rFonts w:ascii="Century Gothic" w:hAnsi="Century Gothic"/>
            <w:b/>
            <w:bCs/>
            <w:noProof/>
          </w:rPr>
          <w:t>1.3</w:t>
        </w:r>
        <w:r w:rsidR="00296434">
          <w:rPr>
            <w:rFonts w:cstheme="minorBidi"/>
            <w:i w:val="0"/>
            <w:iCs w:val="0"/>
            <w:noProof/>
            <w:sz w:val="22"/>
            <w:szCs w:val="22"/>
          </w:rPr>
          <w:tab/>
        </w:r>
        <w:r w:rsidR="00296434" w:rsidRPr="007B62EF">
          <w:rPr>
            <w:rStyle w:val="Hyperlink"/>
            <w:rFonts w:ascii="Century Gothic" w:hAnsi="Century Gothic"/>
            <w:b/>
            <w:bCs/>
            <w:noProof/>
          </w:rPr>
          <w:t>Changes in the relative share of te reo Māori speakers</w:t>
        </w:r>
        <w:r w:rsidR="00296434">
          <w:rPr>
            <w:noProof/>
            <w:webHidden/>
          </w:rPr>
          <w:tab/>
        </w:r>
        <w:r w:rsidR="00296434">
          <w:rPr>
            <w:noProof/>
            <w:webHidden/>
          </w:rPr>
          <w:fldChar w:fldCharType="begin"/>
        </w:r>
        <w:r w:rsidR="00296434">
          <w:rPr>
            <w:noProof/>
            <w:webHidden/>
          </w:rPr>
          <w:instrText xml:space="preserve"> PAGEREF _Toc491783044 \h </w:instrText>
        </w:r>
        <w:r w:rsidR="00296434">
          <w:rPr>
            <w:noProof/>
            <w:webHidden/>
          </w:rPr>
        </w:r>
        <w:r w:rsidR="00296434">
          <w:rPr>
            <w:noProof/>
            <w:webHidden/>
          </w:rPr>
          <w:fldChar w:fldCharType="separate"/>
        </w:r>
        <w:r w:rsidR="00296434">
          <w:rPr>
            <w:noProof/>
            <w:webHidden/>
          </w:rPr>
          <w:t>13</w:t>
        </w:r>
        <w:r w:rsidR="00296434">
          <w:rPr>
            <w:noProof/>
            <w:webHidden/>
          </w:rPr>
          <w:fldChar w:fldCharType="end"/>
        </w:r>
      </w:hyperlink>
    </w:p>
    <w:p w14:paraId="6CA58CC6" w14:textId="3F11A137" w:rsidR="00296434" w:rsidRDefault="00FD6EDA">
      <w:pPr>
        <w:pStyle w:val="TOC2"/>
        <w:tabs>
          <w:tab w:val="left" w:pos="880"/>
          <w:tab w:val="right" w:leader="dot" w:pos="9911"/>
        </w:tabs>
        <w:rPr>
          <w:rFonts w:cstheme="minorBidi"/>
          <w:i w:val="0"/>
          <w:iCs w:val="0"/>
          <w:noProof/>
          <w:sz w:val="22"/>
          <w:szCs w:val="22"/>
        </w:rPr>
      </w:pPr>
      <w:hyperlink w:anchor="_Toc491783045" w:history="1">
        <w:r w:rsidR="00296434" w:rsidRPr="007B62EF">
          <w:rPr>
            <w:rStyle w:val="Hyperlink"/>
            <w:rFonts w:ascii="Century Gothic" w:hAnsi="Century Gothic"/>
            <w:b/>
            <w:bCs/>
            <w:noProof/>
          </w:rPr>
          <w:t>1.4</w:t>
        </w:r>
        <w:r w:rsidR="00296434">
          <w:rPr>
            <w:rFonts w:cstheme="minorBidi"/>
            <w:i w:val="0"/>
            <w:iCs w:val="0"/>
            <w:noProof/>
            <w:sz w:val="22"/>
            <w:szCs w:val="22"/>
          </w:rPr>
          <w:tab/>
        </w:r>
        <w:r w:rsidR="00296434" w:rsidRPr="007B62EF">
          <w:rPr>
            <w:rStyle w:val="Hyperlink"/>
            <w:rFonts w:ascii="Century Gothic" w:hAnsi="Century Gothic"/>
            <w:b/>
            <w:bCs/>
            <w:noProof/>
          </w:rPr>
          <w:t>Sex profile</w:t>
        </w:r>
        <w:r w:rsidR="00296434">
          <w:rPr>
            <w:noProof/>
            <w:webHidden/>
          </w:rPr>
          <w:tab/>
        </w:r>
        <w:r w:rsidR="00296434">
          <w:rPr>
            <w:noProof/>
            <w:webHidden/>
          </w:rPr>
          <w:fldChar w:fldCharType="begin"/>
        </w:r>
        <w:r w:rsidR="00296434">
          <w:rPr>
            <w:noProof/>
            <w:webHidden/>
          </w:rPr>
          <w:instrText xml:space="preserve"> PAGEREF _Toc491783045 \h </w:instrText>
        </w:r>
        <w:r w:rsidR="00296434">
          <w:rPr>
            <w:noProof/>
            <w:webHidden/>
          </w:rPr>
        </w:r>
        <w:r w:rsidR="00296434">
          <w:rPr>
            <w:noProof/>
            <w:webHidden/>
          </w:rPr>
          <w:fldChar w:fldCharType="separate"/>
        </w:r>
        <w:r w:rsidR="00296434">
          <w:rPr>
            <w:noProof/>
            <w:webHidden/>
          </w:rPr>
          <w:t>15</w:t>
        </w:r>
        <w:r w:rsidR="00296434">
          <w:rPr>
            <w:noProof/>
            <w:webHidden/>
          </w:rPr>
          <w:fldChar w:fldCharType="end"/>
        </w:r>
      </w:hyperlink>
    </w:p>
    <w:p w14:paraId="26168476" w14:textId="43A4A4E4" w:rsidR="00296434" w:rsidRDefault="00FD6EDA">
      <w:pPr>
        <w:pStyle w:val="TOC2"/>
        <w:tabs>
          <w:tab w:val="left" w:pos="880"/>
          <w:tab w:val="right" w:leader="dot" w:pos="9911"/>
        </w:tabs>
        <w:rPr>
          <w:rFonts w:cstheme="minorBidi"/>
          <w:i w:val="0"/>
          <w:iCs w:val="0"/>
          <w:noProof/>
          <w:sz w:val="22"/>
          <w:szCs w:val="22"/>
        </w:rPr>
      </w:pPr>
      <w:hyperlink w:anchor="_Toc491783046" w:history="1">
        <w:r w:rsidR="00296434" w:rsidRPr="007B62EF">
          <w:rPr>
            <w:rStyle w:val="Hyperlink"/>
            <w:rFonts w:ascii="Century Gothic" w:hAnsi="Century Gothic"/>
            <w:b/>
            <w:bCs/>
            <w:noProof/>
          </w:rPr>
          <w:t>1.5</w:t>
        </w:r>
        <w:r w:rsidR="00296434">
          <w:rPr>
            <w:rFonts w:cstheme="minorBidi"/>
            <w:i w:val="0"/>
            <w:iCs w:val="0"/>
            <w:noProof/>
            <w:sz w:val="22"/>
            <w:szCs w:val="22"/>
          </w:rPr>
          <w:tab/>
        </w:r>
        <w:r w:rsidR="00296434" w:rsidRPr="007B62EF">
          <w:rPr>
            <w:rStyle w:val="Hyperlink"/>
            <w:rFonts w:ascii="Century Gothic" w:hAnsi="Century Gothic"/>
            <w:b/>
            <w:bCs/>
            <w:noProof/>
          </w:rPr>
          <w:t>Age profile</w:t>
        </w:r>
        <w:r w:rsidR="00296434">
          <w:rPr>
            <w:noProof/>
            <w:webHidden/>
          </w:rPr>
          <w:tab/>
        </w:r>
        <w:r w:rsidR="00296434">
          <w:rPr>
            <w:noProof/>
            <w:webHidden/>
          </w:rPr>
          <w:fldChar w:fldCharType="begin"/>
        </w:r>
        <w:r w:rsidR="00296434">
          <w:rPr>
            <w:noProof/>
            <w:webHidden/>
          </w:rPr>
          <w:instrText xml:space="preserve"> PAGEREF _Toc491783046 \h </w:instrText>
        </w:r>
        <w:r w:rsidR="00296434">
          <w:rPr>
            <w:noProof/>
            <w:webHidden/>
          </w:rPr>
        </w:r>
        <w:r w:rsidR="00296434">
          <w:rPr>
            <w:noProof/>
            <w:webHidden/>
          </w:rPr>
          <w:fldChar w:fldCharType="separate"/>
        </w:r>
        <w:r w:rsidR="00296434">
          <w:rPr>
            <w:noProof/>
            <w:webHidden/>
          </w:rPr>
          <w:t>16</w:t>
        </w:r>
        <w:r w:rsidR="00296434">
          <w:rPr>
            <w:noProof/>
            <w:webHidden/>
          </w:rPr>
          <w:fldChar w:fldCharType="end"/>
        </w:r>
      </w:hyperlink>
    </w:p>
    <w:p w14:paraId="48E47883" w14:textId="04A2D81E" w:rsidR="00296434" w:rsidRDefault="00FD6EDA">
      <w:pPr>
        <w:pStyle w:val="TOC2"/>
        <w:tabs>
          <w:tab w:val="left" w:pos="880"/>
          <w:tab w:val="right" w:leader="dot" w:pos="9911"/>
        </w:tabs>
        <w:rPr>
          <w:rFonts w:cstheme="minorBidi"/>
          <w:i w:val="0"/>
          <w:iCs w:val="0"/>
          <w:noProof/>
          <w:sz w:val="22"/>
          <w:szCs w:val="22"/>
        </w:rPr>
      </w:pPr>
      <w:hyperlink w:anchor="_Toc491783047" w:history="1">
        <w:r w:rsidR="00296434" w:rsidRPr="007B62EF">
          <w:rPr>
            <w:rStyle w:val="Hyperlink"/>
            <w:rFonts w:ascii="Century Gothic" w:hAnsi="Century Gothic"/>
            <w:b/>
            <w:bCs/>
            <w:noProof/>
          </w:rPr>
          <w:t>1.6</w:t>
        </w:r>
        <w:r w:rsidR="00296434">
          <w:rPr>
            <w:rFonts w:cstheme="minorBidi"/>
            <w:i w:val="0"/>
            <w:iCs w:val="0"/>
            <w:noProof/>
            <w:sz w:val="22"/>
            <w:szCs w:val="22"/>
          </w:rPr>
          <w:tab/>
        </w:r>
        <w:r w:rsidR="00296434" w:rsidRPr="007B62EF">
          <w:rPr>
            <w:rStyle w:val="Hyperlink"/>
            <w:rFonts w:ascii="Century Gothic" w:hAnsi="Century Gothic"/>
            <w:b/>
            <w:bCs/>
            <w:noProof/>
          </w:rPr>
          <w:t>Spatial distribution</w:t>
        </w:r>
        <w:r w:rsidR="00296434">
          <w:rPr>
            <w:noProof/>
            <w:webHidden/>
          </w:rPr>
          <w:tab/>
        </w:r>
        <w:r w:rsidR="00296434">
          <w:rPr>
            <w:noProof/>
            <w:webHidden/>
          </w:rPr>
          <w:fldChar w:fldCharType="begin"/>
        </w:r>
        <w:r w:rsidR="00296434">
          <w:rPr>
            <w:noProof/>
            <w:webHidden/>
          </w:rPr>
          <w:instrText xml:space="preserve"> PAGEREF _Toc491783047 \h </w:instrText>
        </w:r>
        <w:r w:rsidR="00296434">
          <w:rPr>
            <w:noProof/>
            <w:webHidden/>
          </w:rPr>
        </w:r>
        <w:r w:rsidR="00296434">
          <w:rPr>
            <w:noProof/>
            <w:webHidden/>
          </w:rPr>
          <w:fldChar w:fldCharType="separate"/>
        </w:r>
        <w:r w:rsidR="00296434">
          <w:rPr>
            <w:noProof/>
            <w:webHidden/>
          </w:rPr>
          <w:t>19</w:t>
        </w:r>
        <w:r w:rsidR="00296434">
          <w:rPr>
            <w:noProof/>
            <w:webHidden/>
          </w:rPr>
          <w:fldChar w:fldCharType="end"/>
        </w:r>
      </w:hyperlink>
    </w:p>
    <w:p w14:paraId="7FF004AA" w14:textId="4B0C6750" w:rsidR="00296434" w:rsidRDefault="00FD6EDA">
      <w:pPr>
        <w:pStyle w:val="TOC1"/>
        <w:tabs>
          <w:tab w:val="left" w:pos="440"/>
          <w:tab w:val="right" w:leader="dot" w:pos="9911"/>
        </w:tabs>
        <w:rPr>
          <w:rFonts w:cstheme="minorBidi"/>
          <w:b w:val="0"/>
          <w:bCs w:val="0"/>
          <w:noProof/>
          <w:sz w:val="22"/>
          <w:szCs w:val="22"/>
        </w:rPr>
      </w:pPr>
      <w:hyperlink w:anchor="_Toc491783048" w:history="1">
        <w:r w:rsidR="00296434" w:rsidRPr="007B62EF">
          <w:rPr>
            <w:rStyle w:val="Hyperlink"/>
            <w:rFonts w:ascii="Century Gothic" w:hAnsi="Century Gothic"/>
            <w:noProof/>
          </w:rPr>
          <w:t>2</w:t>
        </w:r>
        <w:r w:rsidR="00296434">
          <w:rPr>
            <w:rFonts w:cstheme="minorBidi"/>
            <w:b w:val="0"/>
            <w:bCs w:val="0"/>
            <w:noProof/>
            <w:sz w:val="22"/>
            <w:szCs w:val="22"/>
          </w:rPr>
          <w:tab/>
        </w:r>
        <w:r w:rsidR="00296434" w:rsidRPr="007B62EF">
          <w:rPr>
            <w:rStyle w:val="Hyperlink"/>
            <w:rFonts w:ascii="Century Gothic" w:hAnsi="Century Gothic"/>
            <w:noProof/>
          </w:rPr>
          <w:t>Usual residence 5 years ago</w:t>
        </w:r>
        <w:r w:rsidR="00296434">
          <w:rPr>
            <w:noProof/>
            <w:webHidden/>
          </w:rPr>
          <w:tab/>
        </w:r>
        <w:r w:rsidR="00296434">
          <w:rPr>
            <w:noProof/>
            <w:webHidden/>
          </w:rPr>
          <w:fldChar w:fldCharType="begin"/>
        </w:r>
        <w:r w:rsidR="00296434">
          <w:rPr>
            <w:noProof/>
            <w:webHidden/>
          </w:rPr>
          <w:instrText xml:space="preserve"> PAGEREF _Toc491783048 \h </w:instrText>
        </w:r>
        <w:r w:rsidR="00296434">
          <w:rPr>
            <w:noProof/>
            <w:webHidden/>
          </w:rPr>
        </w:r>
        <w:r w:rsidR="00296434">
          <w:rPr>
            <w:noProof/>
            <w:webHidden/>
          </w:rPr>
          <w:fldChar w:fldCharType="separate"/>
        </w:r>
        <w:r w:rsidR="00296434">
          <w:rPr>
            <w:noProof/>
            <w:webHidden/>
          </w:rPr>
          <w:t>22</w:t>
        </w:r>
        <w:r w:rsidR="00296434">
          <w:rPr>
            <w:noProof/>
            <w:webHidden/>
          </w:rPr>
          <w:fldChar w:fldCharType="end"/>
        </w:r>
      </w:hyperlink>
    </w:p>
    <w:p w14:paraId="35EFEE1C" w14:textId="164CE12A" w:rsidR="00296434" w:rsidRDefault="00FD6EDA">
      <w:pPr>
        <w:pStyle w:val="TOC1"/>
        <w:tabs>
          <w:tab w:val="left" w:pos="440"/>
          <w:tab w:val="right" w:leader="dot" w:pos="9911"/>
        </w:tabs>
        <w:rPr>
          <w:rFonts w:cstheme="minorBidi"/>
          <w:b w:val="0"/>
          <w:bCs w:val="0"/>
          <w:noProof/>
          <w:sz w:val="22"/>
          <w:szCs w:val="22"/>
        </w:rPr>
      </w:pPr>
      <w:hyperlink w:anchor="_Toc491783049" w:history="1">
        <w:r w:rsidR="00296434" w:rsidRPr="007B62EF">
          <w:rPr>
            <w:rStyle w:val="Hyperlink"/>
            <w:rFonts w:ascii="Century Gothic" w:hAnsi="Century Gothic"/>
            <w:noProof/>
          </w:rPr>
          <w:t>3</w:t>
        </w:r>
        <w:r w:rsidR="00296434">
          <w:rPr>
            <w:rFonts w:cstheme="minorBidi"/>
            <w:b w:val="0"/>
            <w:bCs w:val="0"/>
            <w:noProof/>
            <w:sz w:val="22"/>
            <w:szCs w:val="22"/>
          </w:rPr>
          <w:tab/>
        </w:r>
        <w:r w:rsidR="00296434" w:rsidRPr="007B62EF">
          <w:rPr>
            <w:rStyle w:val="Hyperlink"/>
            <w:rFonts w:ascii="Century Gothic" w:hAnsi="Century Gothic"/>
            <w:noProof/>
          </w:rPr>
          <w:t>Highest qualification</w:t>
        </w:r>
        <w:r w:rsidR="00296434">
          <w:rPr>
            <w:noProof/>
            <w:webHidden/>
          </w:rPr>
          <w:tab/>
        </w:r>
        <w:r w:rsidR="00296434">
          <w:rPr>
            <w:noProof/>
            <w:webHidden/>
          </w:rPr>
          <w:fldChar w:fldCharType="begin"/>
        </w:r>
        <w:r w:rsidR="00296434">
          <w:rPr>
            <w:noProof/>
            <w:webHidden/>
          </w:rPr>
          <w:instrText xml:space="preserve"> PAGEREF _Toc491783049 \h </w:instrText>
        </w:r>
        <w:r w:rsidR="00296434">
          <w:rPr>
            <w:noProof/>
            <w:webHidden/>
          </w:rPr>
        </w:r>
        <w:r w:rsidR="00296434">
          <w:rPr>
            <w:noProof/>
            <w:webHidden/>
          </w:rPr>
          <w:fldChar w:fldCharType="separate"/>
        </w:r>
        <w:r w:rsidR="00296434">
          <w:rPr>
            <w:noProof/>
            <w:webHidden/>
          </w:rPr>
          <w:t>26</w:t>
        </w:r>
        <w:r w:rsidR="00296434">
          <w:rPr>
            <w:noProof/>
            <w:webHidden/>
          </w:rPr>
          <w:fldChar w:fldCharType="end"/>
        </w:r>
      </w:hyperlink>
    </w:p>
    <w:p w14:paraId="508E87DB" w14:textId="2A3B47F5" w:rsidR="00296434" w:rsidRDefault="00FD6EDA">
      <w:pPr>
        <w:pStyle w:val="TOC1"/>
        <w:tabs>
          <w:tab w:val="left" w:pos="440"/>
          <w:tab w:val="right" w:leader="dot" w:pos="9911"/>
        </w:tabs>
        <w:rPr>
          <w:rFonts w:cstheme="minorBidi"/>
          <w:b w:val="0"/>
          <w:bCs w:val="0"/>
          <w:noProof/>
          <w:sz w:val="22"/>
          <w:szCs w:val="22"/>
        </w:rPr>
      </w:pPr>
      <w:hyperlink w:anchor="_Toc491783050" w:history="1">
        <w:r w:rsidR="00296434" w:rsidRPr="007B62EF">
          <w:rPr>
            <w:rStyle w:val="Hyperlink"/>
            <w:rFonts w:ascii="Century Gothic" w:hAnsi="Century Gothic"/>
            <w:noProof/>
          </w:rPr>
          <w:t>4</w:t>
        </w:r>
        <w:r w:rsidR="00296434">
          <w:rPr>
            <w:rFonts w:cstheme="minorBidi"/>
            <w:b w:val="0"/>
            <w:bCs w:val="0"/>
            <w:noProof/>
            <w:sz w:val="22"/>
            <w:szCs w:val="22"/>
          </w:rPr>
          <w:tab/>
        </w:r>
        <w:r w:rsidR="00296434" w:rsidRPr="007B62EF">
          <w:rPr>
            <w:rStyle w:val="Hyperlink"/>
            <w:rFonts w:ascii="Century Gothic" w:hAnsi="Century Gothic"/>
            <w:noProof/>
          </w:rPr>
          <w:t>Work and labour force status</w:t>
        </w:r>
        <w:r w:rsidR="00296434">
          <w:rPr>
            <w:noProof/>
            <w:webHidden/>
          </w:rPr>
          <w:tab/>
        </w:r>
        <w:r w:rsidR="00296434">
          <w:rPr>
            <w:noProof/>
            <w:webHidden/>
          </w:rPr>
          <w:fldChar w:fldCharType="begin"/>
        </w:r>
        <w:r w:rsidR="00296434">
          <w:rPr>
            <w:noProof/>
            <w:webHidden/>
          </w:rPr>
          <w:instrText xml:space="preserve"> PAGEREF _Toc491783050 \h </w:instrText>
        </w:r>
        <w:r w:rsidR="00296434">
          <w:rPr>
            <w:noProof/>
            <w:webHidden/>
          </w:rPr>
        </w:r>
        <w:r w:rsidR="00296434">
          <w:rPr>
            <w:noProof/>
            <w:webHidden/>
          </w:rPr>
          <w:fldChar w:fldCharType="separate"/>
        </w:r>
        <w:r w:rsidR="00296434">
          <w:rPr>
            <w:noProof/>
            <w:webHidden/>
          </w:rPr>
          <w:t>29</w:t>
        </w:r>
        <w:r w:rsidR="00296434">
          <w:rPr>
            <w:noProof/>
            <w:webHidden/>
          </w:rPr>
          <w:fldChar w:fldCharType="end"/>
        </w:r>
      </w:hyperlink>
    </w:p>
    <w:p w14:paraId="06FEB4AE" w14:textId="5C3F2419" w:rsidR="00296434" w:rsidRDefault="00FD6EDA">
      <w:pPr>
        <w:pStyle w:val="TOC1"/>
        <w:tabs>
          <w:tab w:val="left" w:pos="440"/>
          <w:tab w:val="right" w:leader="dot" w:pos="9911"/>
        </w:tabs>
        <w:rPr>
          <w:rFonts w:cstheme="minorBidi"/>
          <w:b w:val="0"/>
          <w:bCs w:val="0"/>
          <w:noProof/>
          <w:sz w:val="22"/>
          <w:szCs w:val="22"/>
        </w:rPr>
      </w:pPr>
      <w:hyperlink w:anchor="_Toc491783051" w:history="1">
        <w:r w:rsidR="00296434" w:rsidRPr="007B62EF">
          <w:rPr>
            <w:rStyle w:val="Hyperlink"/>
            <w:rFonts w:ascii="Century Gothic" w:hAnsi="Century Gothic"/>
            <w:noProof/>
          </w:rPr>
          <w:t>5</w:t>
        </w:r>
        <w:r w:rsidR="00296434">
          <w:rPr>
            <w:rFonts w:cstheme="minorBidi"/>
            <w:b w:val="0"/>
            <w:bCs w:val="0"/>
            <w:noProof/>
            <w:sz w:val="22"/>
            <w:szCs w:val="22"/>
          </w:rPr>
          <w:tab/>
        </w:r>
        <w:r w:rsidR="00296434" w:rsidRPr="007B62EF">
          <w:rPr>
            <w:rStyle w:val="Hyperlink"/>
            <w:rFonts w:ascii="Century Gothic" w:hAnsi="Century Gothic"/>
            <w:noProof/>
          </w:rPr>
          <w:t>Occupation and Income</w:t>
        </w:r>
        <w:r w:rsidR="00296434">
          <w:rPr>
            <w:noProof/>
            <w:webHidden/>
          </w:rPr>
          <w:tab/>
        </w:r>
        <w:r w:rsidR="00296434">
          <w:rPr>
            <w:noProof/>
            <w:webHidden/>
          </w:rPr>
          <w:fldChar w:fldCharType="begin"/>
        </w:r>
        <w:r w:rsidR="00296434">
          <w:rPr>
            <w:noProof/>
            <w:webHidden/>
          </w:rPr>
          <w:instrText xml:space="preserve"> PAGEREF _Toc491783051 \h </w:instrText>
        </w:r>
        <w:r w:rsidR="00296434">
          <w:rPr>
            <w:noProof/>
            <w:webHidden/>
          </w:rPr>
        </w:r>
        <w:r w:rsidR="00296434">
          <w:rPr>
            <w:noProof/>
            <w:webHidden/>
          </w:rPr>
          <w:fldChar w:fldCharType="separate"/>
        </w:r>
        <w:r w:rsidR="00296434">
          <w:rPr>
            <w:noProof/>
            <w:webHidden/>
          </w:rPr>
          <w:t>34</w:t>
        </w:r>
        <w:r w:rsidR="00296434">
          <w:rPr>
            <w:noProof/>
            <w:webHidden/>
          </w:rPr>
          <w:fldChar w:fldCharType="end"/>
        </w:r>
      </w:hyperlink>
    </w:p>
    <w:p w14:paraId="74661BB3" w14:textId="5512386B" w:rsidR="00296434" w:rsidRDefault="00FD6EDA">
      <w:pPr>
        <w:pStyle w:val="TOC1"/>
        <w:tabs>
          <w:tab w:val="left" w:pos="440"/>
          <w:tab w:val="right" w:leader="dot" w:pos="9911"/>
        </w:tabs>
        <w:rPr>
          <w:rFonts w:cstheme="minorBidi"/>
          <w:b w:val="0"/>
          <w:bCs w:val="0"/>
          <w:noProof/>
          <w:sz w:val="22"/>
          <w:szCs w:val="22"/>
        </w:rPr>
      </w:pPr>
      <w:hyperlink w:anchor="_Toc491783052" w:history="1">
        <w:r w:rsidR="00296434" w:rsidRPr="007B62EF">
          <w:rPr>
            <w:rStyle w:val="Hyperlink"/>
            <w:rFonts w:ascii="Century Gothic" w:hAnsi="Century Gothic"/>
            <w:noProof/>
          </w:rPr>
          <w:t>6</w:t>
        </w:r>
        <w:r w:rsidR="00296434">
          <w:rPr>
            <w:rFonts w:cstheme="minorBidi"/>
            <w:b w:val="0"/>
            <w:bCs w:val="0"/>
            <w:noProof/>
            <w:sz w:val="22"/>
            <w:szCs w:val="22"/>
          </w:rPr>
          <w:tab/>
        </w:r>
        <w:r w:rsidR="00296434" w:rsidRPr="007B62EF">
          <w:rPr>
            <w:rStyle w:val="Hyperlink"/>
            <w:rFonts w:ascii="Century Gothic" w:hAnsi="Century Gothic"/>
            <w:noProof/>
          </w:rPr>
          <w:t>Households</w:t>
        </w:r>
        <w:r w:rsidR="00296434">
          <w:rPr>
            <w:noProof/>
            <w:webHidden/>
          </w:rPr>
          <w:tab/>
        </w:r>
        <w:r w:rsidR="00296434">
          <w:rPr>
            <w:noProof/>
            <w:webHidden/>
          </w:rPr>
          <w:fldChar w:fldCharType="begin"/>
        </w:r>
        <w:r w:rsidR="00296434">
          <w:rPr>
            <w:noProof/>
            <w:webHidden/>
          </w:rPr>
          <w:instrText xml:space="preserve"> PAGEREF _Toc491783052 \h </w:instrText>
        </w:r>
        <w:r w:rsidR="00296434">
          <w:rPr>
            <w:noProof/>
            <w:webHidden/>
          </w:rPr>
        </w:r>
        <w:r w:rsidR="00296434">
          <w:rPr>
            <w:noProof/>
            <w:webHidden/>
          </w:rPr>
          <w:fldChar w:fldCharType="separate"/>
        </w:r>
        <w:r w:rsidR="00296434">
          <w:rPr>
            <w:noProof/>
            <w:webHidden/>
          </w:rPr>
          <w:t>38</w:t>
        </w:r>
        <w:r w:rsidR="00296434">
          <w:rPr>
            <w:noProof/>
            <w:webHidden/>
          </w:rPr>
          <w:fldChar w:fldCharType="end"/>
        </w:r>
      </w:hyperlink>
    </w:p>
    <w:p w14:paraId="0C418D7A" w14:textId="6C6035FA" w:rsidR="00296434" w:rsidRDefault="00FD6EDA">
      <w:pPr>
        <w:pStyle w:val="TOC1"/>
        <w:tabs>
          <w:tab w:val="left" w:pos="440"/>
          <w:tab w:val="right" w:leader="dot" w:pos="9911"/>
        </w:tabs>
        <w:rPr>
          <w:rFonts w:cstheme="minorBidi"/>
          <w:b w:val="0"/>
          <w:bCs w:val="0"/>
          <w:noProof/>
          <w:sz w:val="22"/>
          <w:szCs w:val="22"/>
        </w:rPr>
      </w:pPr>
      <w:hyperlink w:anchor="_Toc491783053" w:history="1">
        <w:r w:rsidR="00296434" w:rsidRPr="007B62EF">
          <w:rPr>
            <w:rStyle w:val="Hyperlink"/>
            <w:rFonts w:ascii="Century Gothic" w:hAnsi="Century Gothic"/>
            <w:noProof/>
          </w:rPr>
          <w:t>7</w:t>
        </w:r>
        <w:r w:rsidR="00296434">
          <w:rPr>
            <w:rFonts w:cstheme="minorBidi"/>
            <w:b w:val="0"/>
            <w:bCs w:val="0"/>
            <w:noProof/>
            <w:sz w:val="22"/>
            <w:szCs w:val="22"/>
          </w:rPr>
          <w:tab/>
        </w:r>
        <w:r w:rsidR="00296434" w:rsidRPr="007B62EF">
          <w:rPr>
            <w:rStyle w:val="Hyperlink"/>
            <w:rFonts w:ascii="Century Gothic" w:hAnsi="Century Gothic"/>
            <w:noProof/>
          </w:rPr>
          <w:t>Concluding comments</w:t>
        </w:r>
        <w:r w:rsidR="00296434">
          <w:rPr>
            <w:noProof/>
            <w:webHidden/>
          </w:rPr>
          <w:tab/>
        </w:r>
        <w:r w:rsidR="00296434">
          <w:rPr>
            <w:noProof/>
            <w:webHidden/>
          </w:rPr>
          <w:fldChar w:fldCharType="begin"/>
        </w:r>
        <w:r w:rsidR="00296434">
          <w:rPr>
            <w:noProof/>
            <w:webHidden/>
          </w:rPr>
          <w:instrText xml:space="preserve"> PAGEREF _Toc491783053 \h </w:instrText>
        </w:r>
        <w:r w:rsidR="00296434">
          <w:rPr>
            <w:noProof/>
            <w:webHidden/>
          </w:rPr>
        </w:r>
        <w:r w:rsidR="00296434">
          <w:rPr>
            <w:noProof/>
            <w:webHidden/>
          </w:rPr>
          <w:fldChar w:fldCharType="separate"/>
        </w:r>
        <w:r w:rsidR="00296434">
          <w:rPr>
            <w:noProof/>
            <w:webHidden/>
          </w:rPr>
          <w:t>40</w:t>
        </w:r>
        <w:r w:rsidR="00296434">
          <w:rPr>
            <w:noProof/>
            <w:webHidden/>
          </w:rPr>
          <w:fldChar w:fldCharType="end"/>
        </w:r>
      </w:hyperlink>
    </w:p>
    <w:p w14:paraId="49DD4714" w14:textId="703EF45C" w:rsidR="00296434" w:rsidRDefault="00FD6EDA">
      <w:pPr>
        <w:pStyle w:val="TOC1"/>
        <w:tabs>
          <w:tab w:val="right" w:leader="dot" w:pos="9911"/>
        </w:tabs>
        <w:rPr>
          <w:rFonts w:cstheme="minorBidi"/>
          <w:b w:val="0"/>
          <w:bCs w:val="0"/>
          <w:noProof/>
          <w:sz w:val="22"/>
          <w:szCs w:val="22"/>
        </w:rPr>
      </w:pPr>
      <w:hyperlink w:anchor="_Toc491783054" w:history="1">
        <w:r w:rsidR="00296434" w:rsidRPr="007B62EF">
          <w:rPr>
            <w:rStyle w:val="Hyperlink"/>
            <w:rFonts w:ascii="Century Gothic" w:hAnsi="Century Gothic"/>
            <w:noProof/>
            <w:lang w:val="fr-FR"/>
          </w:rPr>
          <w:t>References</w:t>
        </w:r>
        <w:r w:rsidR="00296434">
          <w:rPr>
            <w:noProof/>
            <w:webHidden/>
          </w:rPr>
          <w:tab/>
        </w:r>
        <w:r w:rsidR="00296434">
          <w:rPr>
            <w:noProof/>
            <w:webHidden/>
          </w:rPr>
          <w:fldChar w:fldCharType="begin"/>
        </w:r>
        <w:r w:rsidR="00296434">
          <w:rPr>
            <w:noProof/>
            <w:webHidden/>
          </w:rPr>
          <w:instrText xml:space="preserve"> PAGEREF _Toc491783054 \h </w:instrText>
        </w:r>
        <w:r w:rsidR="00296434">
          <w:rPr>
            <w:noProof/>
            <w:webHidden/>
          </w:rPr>
        </w:r>
        <w:r w:rsidR="00296434">
          <w:rPr>
            <w:noProof/>
            <w:webHidden/>
          </w:rPr>
          <w:fldChar w:fldCharType="separate"/>
        </w:r>
        <w:r w:rsidR="00296434">
          <w:rPr>
            <w:noProof/>
            <w:webHidden/>
          </w:rPr>
          <w:t>41</w:t>
        </w:r>
        <w:r w:rsidR="00296434">
          <w:rPr>
            <w:noProof/>
            <w:webHidden/>
          </w:rPr>
          <w:fldChar w:fldCharType="end"/>
        </w:r>
      </w:hyperlink>
    </w:p>
    <w:p w14:paraId="48FCA83A" w14:textId="45CC760E" w:rsidR="00296434" w:rsidRDefault="00FD6EDA">
      <w:pPr>
        <w:pStyle w:val="TOC1"/>
        <w:tabs>
          <w:tab w:val="right" w:leader="dot" w:pos="9911"/>
        </w:tabs>
        <w:rPr>
          <w:rFonts w:cstheme="minorBidi"/>
          <w:b w:val="0"/>
          <w:bCs w:val="0"/>
          <w:noProof/>
          <w:sz w:val="22"/>
          <w:szCs w:val="22"/>
        </w:rPr>
      </w:pPr>
      <w:hyperlink w:anchor="_Toc491783055" w:history="1">
        <w:r w:rsidR="00296434" w:rsidRPr="007B62EF">
          <w:rPr>
            <w:rStyle w:val="Hyperlink"/>
            <w:rFonts w:ascii="Century Gothic" w:hAnsi="Century Gothic"/>
            <w:noProof/>
            <w:lang w:val="fr-FR"/>
          </w:rPr>
          <w:t>Appendix</w:t>
        </w:r>
        <w:r w:rsidR="00296434">
          <w:rPr>
            <w:noProof/>
            <w:webHidden/>
          </w:rPr>
          <w:tab/>
        </w:r>
        <w:r w:rsidR="00296434">
          <w:rPr>
            <w:noProof/>
            <w:webHidden/>
          </w:rPr>
          <w:fldChar w:fldCharType="begin"/>
        </w:r>
        <w:r w:rsidR="00296434">
          <w:rPr>
            <w:noProof/>
            <w:webHidden/>
          </w:rPr>
          <w:instrText xml:space="preserve"> PAGEREF _Toc491783055 \h </w:instrText>
        </w:r>
        <w:r w:rsidR="00296434">
          <w:rPr>
            <w:noProof/>
            <w:webHidden/>
          </w:rPr>
        </w:r>
        <w:r w:rsidR="00296434">
          <w:rPr>
            <w:noProof/>
            <w:webHidden/>
          </w:rPr>
          <w:fldChar w:fldCharType="separate"/>
        </w:r>
        <w:r w:rsidR="00296434">
          <w:rPr>
            <w:noProof/>
            <w:webHidden/>
          </w:rPr>
          <w:t>42</w:t>
        </w:r>
        <w:r w:rsidR="00296434">
          <w:rPr>
            <w:noProof/>
            <w:webHidden/>
          </w:rPr>
          <w:fldChar w:fldCharType="end"/>
        </w:r>
      </w:hyperlink>
    </w:p>
    <w:p w14:paraId="725803C4" w14:textId="6A8BD04F" w:rsidR="009E6BC9" w:rsidRDefault="006A3A3C" w:rsidP="00691385">
      <w:pPr>
        <w:rPr>
          <w:rFonts w:ascii="Century Gothic" w:hAnsi="Century Gothic"/>
          <w:b/>
          <w:bCs/>
          <w:color w:val="44546A"/>
          <w:sz w:val="24"/>
          <w:szCs w:val="24"/>
        </w:rPr>
      </w:pPr>
      <w:r>
        <w:rPr>
          <w:rFonts w:ascii="Century Gothic" w:hAnsi="Century Gothic"/>
          <w:b/>
          <w:bCs/>
          <w:color w:val="44546A"/>
          <w:sz w:val="24"/>
          <w:szCs w:val="24"/>
        </w:rPr>
        <w:fldChar w:fldCharType="end"/>
      </w:r>
    </w:p>
    <w:p w14:paraId="645346B3" w14:textId="10209AAE" w:rsidR="00A8121A" w:rsidRDefault="00A8121A" w:rsidP="00691385">
      <w:pPr>
        <w:rPr>
          <w:rFonts w:ascii="Century Gothic" w:hAnsi="Century Gothic"/>
          <w:b/>
          <w:bCs/>
          <w:color w:val="44546A"/>
          <w:sz w:val="24"/>
          <w:szCs w:val="24"/>
        </w:rPr>
      </w:pPr>
    </w:p>
    <w:p w14:paraId="4DDAB397" w14:textId="67B4823E" w:rsidR="00A8121A" w:rsidRDefault="00A8121A" w:rsidP="00691385">
      <w:pPr>
        <w:rPr>
          <w:rFonts w:ascii="Century Gothic" w:hAnsi="Century Gothic"/>
          <w:b/>
          <w:bCs/>
          <w:color w:val="44546A"/>
          <w:sz w:val="24"/>
          <w:szCs w:val="24"/>
        </w:rPr>
      </w:pPr>
    </w:p>
    <w:p w14:paraId="62E500B6" w14:textId="77777777" w:rsidR="0033211E" w:rsidRDefault="0033211E" w:rsidP="00691385">
      <w:pPr>
        <w:rPr>
          <w:rFonts w:ascii="Century Gothic" w:hAnsi="Century Gothic"/>
          <w:b/>
          <w:bCs/>
          <w:color w:val="44546A"/>
          <w:sz w:val="24"/>
          <w:szCs w:val="24"/>
        </w:rPr>
      </w:pPr>
    </w:p>
    <w:p w14:paraId="06591ED6" w14:textId="77777777" w:rsidR="0033211E" w:rsidRDefault="0033211E" w:rsidP="00691385">
      <w:pPr>
        <w:rPr>
          <w:rFonts w:ascii="Century Gothic" w:hAnsi="Century Gothic"/>
          <w:b/>
          <w:bCs/>
          <w:color w:val="44546A"/>
          <w:sz w:val="24"/>
          <w:szCs w:val="24"/>
        </w:rPr>
      </w:pPr>
    </w:p>
    <w:p w14:paraId="12F56496" w14:textId="4DFAB512" w:rsidR="00A8121A" w:rsidRDefault="00A8121A" w:rsidP="00691385">
      <w:pPr>
        <w:rPr>
          <w:rFonts w:ascii="Century Gothic" w:hAnsi="Century Gothic"/>
          <w:b/>
          <w:bCs/>
          <w:color w:val="44546A"/>
          <w:sz w:val="24"/>
          <w:szCs w:val="24"/>
        </w:rPr>
      </w:pPr>
    </w:p>
    <w:p w14:paraId="2400AD9E" w14:textId="77777777" w:rsidR="0033211E" w:rsidRDefault="0033211E" w:rsidP="00691385">
      <w:pPr>
        <w:rPr>
          <w:rFonts w:ascii="Century Gothic" w:hAnsi="Century Gothic"/>
          <w:b/>
          <w:bCs/>
          <w:color w:val="44546A"/>
          <w:sz w:val="24"/>
          <w:szCs w:val="24"/>
        </w:rPr>
      </w:pPr>
    </w:p>
    <w:p w14:paraId="491150E0" w14:textId="77777777" w:rsidR="0033211E" w:rsidRDefault="0033211E" w:rsidP="00691385">
      <w:pPr>
        <w:rPr>
          <w:rFonts w:ascii="Century Gothic" w:hAnsi="Century Gothic"/>
          <w:b/>
          <w:bCs/>
          <w:color w:val="44546A"/>
          <w:sz w:val="24"/>
          <w:szCs w:val="24"/>
        </w:rPr>
      </w:pPr>
    </w:p>
    <w:p w14:paraId="26014E34" w14:textId="31700F26" w:rsidR="00A8121A" w:rsidRDefault="00A8121A" w:rsidP="00691385">
      <w:pPr>
        <w:rPr>
          <w:rFonts w:ascii="Century Gothic" w:hAnsi="Century Gothic"/>
          <w:b/>
          <w:bCs/>
          <w:color w:val="44546A"/>
          <w:sz w:val="24"/>
          <w:szCs w:val="24"/>
        </w:rPr>
      </w:pPr>
    </w:p>
    <w:p w14:paraId="35956A7E" w14:textId="235EE68E" w:rsidR="00691385" w:rsidRPr="00E210D6" w:rsidRDefault="00691385" w:rsidP="00691385">
      <w:pPr>
        <w:rPr>
          <w:rFonts w:ascii="Century Gothic" w:hAnsi="Century Gothic"/>
          <w:b/>
          <w:bCs/>
          <w:color w:val="44546A"/>
          <w:sz w:val="24"/>
          <w:szCs w:val="24"/>
        </w:rPr>
      </w:pPr>
      <w:r w:rsidRPr="00E210D6">
        <w:rPr>
          <w:rFonts w:ascii="Century Gothic" w:hAnsi="Century Gothic"/>
          <w:b/>
          <w:bCs/>
          <w:color w:val="44546A"/>
          <w:sz w:val="24"/>
          <w:szCs w:val="24"/>
        </w:rPr>
        <w:lastRenderedPageBreak/>
        <w:t>List of Tables</w:t>
      </w:r>
    </w:p>
    <w:p w14:paraId="24D9FFA9" w14:textId="77777777" w:rsidR="001304E9" w:rsidRDefault="00F37781">
      <w:pPr>
        <w:pStyle w:val="TableofFigures"/>
        <w:tabs>
          <w:tab w:val="right" w:leader="dot" w:pos="9911"/>
        </w:tabs>
        <w:rPr>
          <w:noProof/>
        </w:rPr>
      </w:pPr>
      <w:r w:rsidRPr="00F53411">
        <w:rPr>
          <w:rStyle w:val="Hyperlink"/>
          <w:rFonts w:ascii="Century Gothic" w:hAnsi="Century Gothic"/>
          <w:noProof/>
          <w:sz w:val="20"/>
          <w:szCs w:val="20"/>
        </w:rPr>
        <w:fldChar w:fldCharType="begin"/>
      </w:r>
      <w:r w:rsidRPr="00F53411">
        <w:rPr>
          <w:rStyle w:val="Hyperlink"/>
          <w:rFonts w:ascii="Century Gothic" w:hAnsi="Century Gothic"/>
          <w:noProof/>
          <w:sz w:val="20"/>
          <w:szCs w:val="20"/>
        </w:rPr>
        <w:instrText xml:space="preserve"> TOC \h \z \c "Table" </w:instrText>
      </w:r>
      <w:r w:rsidRPr="00F53411">
        <w:rPr>
          <w:rStyle w:val="Hyperlink"/>
          <w:rFonts w:ascii="Century Gothic" w:hAnsi="Century Gothic"/>
          <w:noProof/>
          <w:sz w:val="20"/>
          <w:szCs w:val="20"/>
        </w:rPr>
        <w:fldChar w:fldCharType="separate"/>
      </w:r>
      <w:hyperlink w:anchor="_Toc491906359" w:history="1">
        <w:r w:rsidR="001304E9" w:rsidRPr="00C56BC4">
          <w:rPr>
            <w:rStyle w:val="Hyperlink"/>
            <w:rFonts w:ascii="Century Gothic" w:hAnsi="Century Gothic"/>
            <w:b/>
            <w:bCs/>
            <w:noProof/>
          </w:rPr>
          <w:t xml:space="preserve">Table </w:t>
        </w:r>
        <w:r w:rsidR="001304E9" w:rsidRPr="00C56BC4">
          <w:rPr>
            <w:rStyle w:val="Hyperlink"/>
            <w:rFonts w:ascii="Century Gothic" w:hAnsi="Century Gothic" w:hint="cs"/>
            <w:b/>
            <w:bCs/>
            <w:noProof/>
            <w:cs/>
          </w:rPr>
          <w:t>‎</w:t>
        </w:r>
        <w:r w:rsidR="001304E9" w:rsidRPr="00C56BC4">
          <w:rPr>
            <w:rStyle w:val="Hyperlink"/>
            <w:rFonts w:ascii="Century Gothic" w:hAnsi="Century Gothic"/>
            <w:b/>
            <w:bCs/>
            <w:noProof/>
          </w:rPr>
          <w:t>1.1 Ngāi Tāmanuhiri self-reported te reo Māori ability; Te Kupenga 2013</w:t>
        </w:r>
        <w:r w:rsidR="001304E9">
          <w:rPr>
            <w:noProof/>
            <w:webHidden/>
          </w:rPr>
          <w:tab/>
        </w:r>
        <w:r w:rsidR="001304E9">
          <w:rPr>
            <w:noProof/>
            <w:webHidden/>
          </w:rPr>
          <w:fldChar w:fldCharType="begin"/>
        </w:r>
        <w:r w:rsidR="001304E9">
          <w:rPr>
            <w:noProof/>
            <w:webHidden/>
          </w:rPr>
          <w:instrText xml:space="preserve"> PAGEREF _Toc491906359 \h </w:instrText>
        </w:r>
        <w:r w:rsidR="001304E9">
          <w:rPr>
            <w:noProof/>
            <w:webHidden/>
          </w:rPr>
        </w:r>
        <w:r w:rsidR="001304E9">
          <w:rPr>
            <w:noProof/>
            <w:webHidden/>
          </w:rPr>
          <w:fldChar w:fldCharType="separate"/>
        </w:r>
        <w:r w:rsidR="001304E9">
          <w:rPr>
            <w:noProof/>
            <w:webHidden/>
          </w:rPr>
          <w:t>15</w:t>
        </w:r>
        <w:r w:rsidR="001304E9">
          <w:rPr>
            <w:noProof/>
            <w:webHidden/>
          </w:rPr>
          <w:fldChar w:fldCharType="end"/>
        </w:r>
      </w:hyperlink>
    </w:p>
    <w:p w14:paraId="5A31C478" w14:textId="77777777" w:rsidR="001304E9" w:rsidRDefault="001304E9">
      <w:pPr>
        <w:pStyle w:val="TableofFigures"/>
        <w:tabs>
          <w:tab w:val="right" w:leader="dot" w:pos="9911"/>
        </w:tabs>
        <w:rPr>
          <w:noProof/>
        </w:rPr>
      </w:pPr>
      <w:hyperlink w:anchor="_Toc491906360" w:history="1">
        <w:r w:rsidRPr="00C56BC4">
          <w:rPr>
            <w:rStyle w:val="Hyperlink"/>
            <w:rFonts w:ascii="Century Gothic" w:hAnsi="Century Gothic"/>
            <w:b/>
            <w:bCs/>
            <w:noProof/>
          </w:rPr>
          <w:t xml:space="preserve">Table </w:t>
        </w:r>
        <w:r w:rsidRPr="00C56BC4">
          <w:rPr>
            <w:rStyle w:val="Hyperlink"/>
            <w:rFonts w:ascii="Century Gothic" w:hAnsi="Century Gothic" w:hint="cs"/>
            <w:b/>
            <w:bCs/>
            <w:noProof/>
            <w:cs/>
          </w:rPr>
          <w:t>‎</w:t>
        </w:r>
        <w:r w:rsidRPr="00C56BC4">
          <w:rPr>
            <w:rStyle w:val="Hyperlink"/>
            <w:rFonts w:ascii="Century Gothic" w:hAnsi="Century Gothic"/>
            <w:b/>
            <w:bCs/>
            <w:noProof/>
          </w:rPr>
          <w:t>1.2 Distribution of the usually resident population of Ngāi Tāmanuhiri iwi across regions; Census 2013</w:t>
        </w:r>
        <w:r>
          <w:rPr>
            <w:noProof/>
            <w:webHidden/>
          </w:rPr>
          <w:tab/>
        </w:r>
        <w:r>
          <w:rPr>
            <w:noProof/>
            <w:webHidden/>
          </w:rPr>
          <w:fldChar w:fldCharType="begin"/>
        </w:r>
        <w:r>
          <w:rPr>
            <w:noProof/>
            <w:webHidden/>
          </w:rPr>
          <w:instrText xml:space="preserve"> PAGEREF _Toc491906360 \h </w:instrText>
        </w:r>
        <w:r>
          <w:rPr>
            <w:noProof/>
            <w:webHidden/>
          </w:rPr>
        </w:r>
        <w:r>
          <w:rPr>
            <w:noProof/>
            <w:webHidden/>
          </w:rPr>
          <w:fldChar w:fldCharType="separate"/>
        </w:r>
        <w:r>
          <w:rPr>
            <w:noProof/>
            <w:webHidden/>
          </w:rPr>
          <w:t>20</w:t>
        </w:r>
        <w:r>
          <w:rPr>
            <w:noProof/>
            <w:webHidden/>
          </w:rPr>
          <w:fldChar w:fldCharType="end"/>
        </w:r>
      </w:hyperlink>
    </w:p>
    <w:p w14:paraId="424B13C6" w14:textId="77777777" w:rsidR="001304E9" w:rsidRDefault="001304E9">
      <w:pPr>
        <w:pStyle w:val="TableofFigures"/>
        <w:tabs>
          <w:tab w:val="right" w:leader="dot" w:pos="9911"/>
        </w:tabs>
        <w:rPr>
          <w:noProof/>
        </w:rPr>
      </w:pPr>
      <w:hyperlink w:anchor="_Toc491906361" w:history="1">
        <w:r w:rsidRPr="00C56BC4">
          <w:rPr>
            <w:rStyle w:val="Hyperlink"/>
            <w:rFonts w:ascii="Century Gothic" w:hAnsi="Century Gothic"/>
            <w:b/>
            <w:bCs/>
            <w:noProof/>
          </w:rPr>
          <w:t xml:space="preserve">Table </w:t>
        </w:r>
        <w:r w:rsidRPr="00C56BC4">
          <w:rPr>
            <w:rStyle w:val="Hyperlink"/>
            <w:rFonts w:ascii="Century Gothic" w:hAnsi="Century Gothic" w:hint="cs"/>
            <w:b/>
            <w:bCs/>
            <w:noProof/>
            <w:cs/>
          </w:rPr>
          <w:t>‎</w:t>
        </w:r>
        <w:r w:rsidRPr="00C56BC4">
          <w:rPr>
            <w:rStyle w:val="Hyperlink"/>
            <w:rFonts w:ascii="Century Gothic" w:hAnsi="Century Gothic"/>
            <w:b/>
            <w:bCs/>
            <w:noProof/>
          </w:rPr>
          <w:t>1.3 Distribution of Ngāi Tāmanuhiri te reo Māori speakers across regions; Census 2013</w:t>
        </w:r>
        <w:r>
          <w:rPr>
            <w:noProof/>
            <w:webHidden/>
          </w:rPr>
          <w:tab/>
        </w:r>
        <w:r>
          <w:rPr>
            <w:noProof/>
            <w:webHidden/>
          </w:rPr>
          <w:fldChar w:fldCharType="begin"/>
        </w:r>
        <w:r>
          <w:rPr>
            <w:noProof/>
            <w:webHidden/>
          </w:rPr>
          <w:instrText xml:space="preserve"> PAGEREF _Toc491906361 \h </w:instrText>
        </w:r>
        <w:r>
          <w:rPr>
            <w:noProof/>
            <w:webHidden/>
          </w:rPr>
        </w:r>
        <w:r>
          <w:rPr>
            <w:noProof/>
            <w:webHidden/>
          </w:rPr>
          <w:fldChar w:fldCharType="separate"/>
        </w:r>
        <w:r>
          <w:rPr>
            <w:noProof/>
            <w:webHidden/>
          </w:rPr>
          <w:t>20</w:t>
        </w:r>
        <w:r>
          <w:rPr>
            <w:noProof/>
            <w:webHidden/>
          </w:rPr>
          <w:fldChar w:fldCharType="end"/>
        </w:r>
      </w:hyperlink>
    </w:p>
    <w:p w14:paraId="55426726" w14:textId="77777777" w:rsidR="001304E9" w:rsidRDefault="001304E9">
      <w:pPr>
        <w:pStyle w:val="TableofFigures"/>
        <w:tabs>
          <w:tab w:val="right" w:leader="dot" w:pos="9911"/>
        </w:tabs>
        <w:rPr>
          <w:noProof/>
        </w:rPr>
      </w:pPr>
      <w:hyperlink w:anchor="_Toc491906362" w:history="1">
        <w:r w:rsidRPr="00C56BC4">
          <w:rPr>
            <w:rStyle w:val="Hyperlink"/>
            <w:rFonts w:ascii="Century Gothic" w:hAnsi="Century Gothic"/>
            <w:b/>
            <w:bCs/>
            <w:noProof/>
          </w:rPr>
          <w:t xml:space="preserve">Table </w:t>
        </w:r>
        <w:r w:rsidRPr="00C56BC4">
          <w:rPr>
            <w:rStyle w:val="Hyperlink"/>
            <w:rFonts w:ascii="Century Gothic" w:hAnsi="Century Gothic" w:hint="cs"/>
            <w:b/>
            <w:bCs/>
            <w:noProof/>
            <w:cs/>
          </w:rPr>
          <w:t>‎</w:t>
        </w:r>
        <w:r w:rsidRPr="00C56BC4">
          <w:rPr>
            <w:rStyle w:val="Hyperlink"/>
            <w:rFonts w:ascii="Century Gothic" w:hAnsi="Century Gothic"/>
            <w:b/>
            <w:bCs/>
            <w:noProof/>
          </w:rPr>
          <w:t>5.1 Personal income (grouped) Ngāi Tāmanuhiri iwi and the Māori descent population; adults aged 15+ years; Census 2013</w:t>
        </w:r>
        <w:r>
          <w:rPr>
            <w:noProof/>
            <w:webHidden/>
          </w:rPr>
          <w:tab/>
        </w:r>
        <w:r>
          <w:rPr>
            <w:noProof/>
            <w:webHidden/>
          </w:rPr>
          <w:fldChar w:fldCharType="begin"/>
        </w:r>
        <w:r>
          <w:rPr>
            <w:noProof/>
            <w:webHidden/>
          </w:rPr>
          <w:instrText xml:space="preserve"> PAGEREF _Toc491906362 \h </w:instrText>
        </w:r>
        <w:r>
          <w:rPr>
            <w:noProof/>
            <w:webHidden/>
          </w:rPr>
        </w:r>
        <w:r>
          <w:rPr>
            <w:noProof/>
            <w:webHidden/>
          </w:rPr>
          <w:fldChar w:fldCharType="separate"/>
        </w:r>
        <w:r>
          <w:rPr>
            <w:noProof/>
            <w:webHidden/>
          </w:rPr>
          <w:t>38</w:t>
        </w:r>
        <w:r>
          <w:rPr>
            <w:noProof/>
            <w:webHidden/>
          </w:rPr>
          <w:fldChar w:fldCharType="end"/>
        </w:r>
      </w:hyperlink>
    </w:p>
    <w:p w14:paraId="1CD7607E" w14:textId="27452C7C" w:rsidR="00F37781" w:rsidRDefault="00F37781" w:rsidP="00F53411">
      <w:pPr>
        <w:pStyle w:val="TableofFigures"/>
        <w:tabs>
          <w:tab w:val="right" w:leader="dot" w:pos="9911"/>
        </w:tabs>
        <w:spacing w:line="360" w:lineRule="auto"/>
        <w:rPr>
          <w:rStyle w:val="Hyperlink"/>
          <w:rFonts w:ascii="Century Gothic" w:hAnsi="Century Gothic"/>
          <w:noProof/>
          <w:sz w:val="20"/>
          <w:szCs w:val="20"/>
        </w:rPr>
      </w:pPr>
      <w:r w:rsidRPr="00F53411">
        <w:rPr>
          <w:rStyle w:val="Hyperlink"/>
          <w:rFonts w:ascii="Century Gothic" w:hAnsi="Century Gothic"/>
          <w:noProof/>
          <w:sz w:val="20"/>
          <w:szCs w:val="20"/>
        </w:rPr>
        <w:fldChar w:fldCharType="end"/>
      </w:r>
    </w:p>
    <w:p w14:paraId="0D9D7A1F" w14:textId="77777777" w:rsidR="00691385" w:rsidRPr="00350453" w:rsidRDefault="00691385" w:rsidP="00CD0D39">
      <w:pPr>
        <w:spacing w:line="360" w:lineRule="auto"/>
        <w:rPr>
          <w:rFonts w:ascii="Century Gothic" w:hAnsi="Century Gothic"/>
          <w:b/>
          <w:bCs/>
          <w:color w:val="44546A"/>
          <w:sz w:val="24"/>
          <w:szCs w:val="24"/>
        </w:rPr>
      </w:pPr>
      <w:r w:rsidRPr="00350453">
        <w:rPr>
          <w:rFonts w:ascii="Century Gothic" w:hAnsi="Century Gothic"/>
          <w:b/>
          <w:bCs/>
          <w:color w:val="44546A"/>
          <w:sz w:val="24"/>
          <w:szCs w:val="24"/>
        </w:rPr>
        <w:t>List of Figures</w:t>
      </w:r>
    </w:p>
    <w:p w14:paraId="3AD609CC" w14:textId="24F38BD4" w:rsidR="00296434" w:rsidRDefault="00F37781">
      <w:pPr>
        <w:pStyle w:val="TableofFigures"/>
        <w:tabs>
          <w:tab w:val="right" w:leader="dot" w:pos="9911"/>
        </w:tabs>
        <w:rPr>
          <w:noProof/>
        </w:rPr>
      </w:pPr>
      <w:r w:rsidRPr="00F53411">
        <w:rPr>
          <w:rStyle w:val="Hyperlink"/>
          <w:rFonts w:ascii="Century Gothic" w:hAnsi="Century Gothic"/>
          <w:b/>
          <w:bCs/>
          <w:noProof/>
          <w:sz w:val="20"/>
          <w:szCs w:val="20"/>
        </w:rPr>
        <w:fldChar w:fldCharType="begin"/>
      </w:r>
      <w:r w:rsidRPr="00F53411">
        <w:rPr>
          <w:rStyle w:val="Hyperlink"/>
          <w:rFonts w:ascii="Century Gothic" w:hAnsi="Century Gothic"/>
          <w:b/>
          <w:bCs/>
          <w:noProof/>
          <w:sz w:val="20"/>
          <w:szCs w:val="20"/>
        </w:rPr>
        <w:instrText xml:space="preserve"> TOC \h \z \c "Figure" </w:instrText>
      </w:r>
      <w:r w:rsidRPr="00F53411">
        <w:rPr>
          <w:rStyle w:val="Hyperlink"/>
          <w:rFonts w:ascii="Century Gothic" w:hAnsi="Century Gothic"/>
          <w:b/>
          <w:bCs/>
          <w:noProof/>
          <w:sz w:val="20"/>
          <w:szCs w:val="20"/>
        </w:rPr>
        <w:fldChar w:fldCharType="separate"/>
      </w:r>
      <w:hyperlink w:anchor="_Toc491783060" w:history="1">
        <w:r w:rsidR="00296434" w:rsidRPr="006E71D2">
          <w:rPr>
            <w:rStyle w:val="Hyperlink"/>
            <w:rFonts w:ascii="Century Gothic" w:hAnsi="Century Gothic"/>
            <w:b/>
            <w:bCs/>
            <w:noProof/>
          </w:rPr>
          <w:t xml:space="preserve">Figure </w:t>
        </w:r>
        <w:r w:rsidR="00296434" w:rsidRPr="006E71D2">
          <w:rPr>
            <w:rStyle w:val="Hyperlink"/>
            <w:rFonts w:ascii="Century Gothic" w:hAnsi="Century Gothic"/>
            <w:b/>
            <w:bCs/>
            <w:noProof/>
            <w:cs/>
          </w:rPr>
          <w:t>‎</w:t>
        </w:r>
        <w:r w:rsidR="00296434" w:rsidRPr="006E71D2">
          <w:rPr>
            <w:rStyle w:val="Hyperlink"/>
            <w:rFonts w:ascii="Century Gothic" w:hAnsi="Century Gothic"/>
            <w:b/>
            <w:bCs/>
            <w:noProof/>
          </w:rPr>
          <w:t>1.1 Ngāi Tāmanuhiri and the total Māori descent population as recorded at the 2001, 2006 and 2013 Censuses</w:t>
        </w:r>
        <w:r w:rsidR="00296434">
          <w:rPr>
            <w:noProof/>
            <w:webHidden/>
          </w:rPr>
          <w:tab/>
        </w:r>
        <w:r w:rsidR="00296434">
          <w:rPr>
            <w:noProof/>
            <w:webHidden/>
          </w:rPr>
          <w:fldChar w:fldCharType="begin"/>
        </w:r>
        <w:r w:rsidR="00296434">
          <w:rPr>
            <w:noProof/>
            <w:webHidden/>
          </w:rPr>
          <w:instrText xml:space="preserve"> PAGEREF _Toc491783060 \h </w:instrText>
        </w:r>
        <w:r w:rsidR="00296434">
          <w:rPr>
            <w:noProof/>
            <w:webHidden/>
          </w:rPr>
        </w:r>
        <w:r w:rsidR="00296434">
          <w:rPr>
            <w:noProof/>
            <w:webHidden/>
          </w:rPr>
          <w:fldChar w:fldCharType="separate"/>
        </w:r>
        <w:r w:rsidR="00296434">
          <w:rPr>
            <w:noProof/>
            <w:webHidden/>
          </w:rPr>
          <w:t>12</w:t>
        </w:r>
        <w:r w:rsidR="00296434">
          <w:rPr>
            <w:noProof/>
            <w:webHidden/>
          </w:rPr>
          <w:fldChar w:fldCharType="end"/>
        </w:r>
      </w:hyperlink>
    </w:p>
    <w:p w14:paraId="4042A629" w14:textId="2843EA6B" w:rsidR="00296434" w:rsidRDefault="00FD6EDA">
      <w:pPr>
        <w:pStyle w:val="TableofFigures"/>
        <w:tabs>
          <w:tab w:val="right" w:leader="dot" w:pos="9911"/>
        </w:tabs>
        <w:rPr>
          <w:noProof/>
        </w:rPr>
      </w:pPr>
      <w:hyperlink w:anchor="_Toc491783061" w:history="1">
        <w:r w:rsidR="00296434" w:rsidRPr="006E71D2">
          <w:rPr>
            <w:rStyle w:val="Hyperlink"/>
            <w:rFonts w:ascii="Century Gothic" w:hAnsi="Century Gothic"/>
            <w:b/>
            <w:bCs/>
            <w:noProof/>
          </w:rPr>
          <w:t xml:space="preserve">Figure </w:t>
        </w:r>
        <w:r w:rsidR="00296434" w:rsidRPr="006E71D2">
          <w:rPr>
            <w:rStyle w:val="Hyperlink"/>
            <w:rFonts w:ascii="Century Gothic" w:hAnsi="Century Gothic"/>
            <w:b/>
            <w:bCs/>
            <w:noProof/>
            <w:cs/>
          </w:rPr>
          <w:t>‎</w:t>
        </w:r>
        <w:r w:rsidR="00296434" w:rsidRPr="006E71D2">
          <w:rPr>
            <w:rStyle w:val="Hyperlink"/>
            <w:rFonts w:ascii="Century Gothic" w:hAnsi="Century Gothic"/>
            <w:b/>
            <w:bCs/>
            <w:noProof/>
          </w:rPr>
          <w:t>1.2 Change in the number of te Reo Māori speakers; Ngāi Tāmanuhiri and the total Māori  descent population as recorded at the 2001, 2006 and 2013 Censuses</w:t>
        </w:r>
        <w:r w:rsidR="00296434">
          <w:rPr>
            <w:noProof/>
            <w:webHidden/>
          </w:rPr>
          <w:tab/>
        </w:r>
        <w:r w:rsidR="00296434">
          <w:rPr>
            <w:noProof/>
            <w:webHidden/>
          </w:rPr>
          <w:fldChar w:fldCharType="begin"/>
        </w:r>
        <w:r w:rsidR="00296434">
          <w:rPr>
            <w:noProof/>
            <w:webHidden/>
          </w:rPr>
          <w:instrText xml:space="preserve"> PAGEREF _Toc491783061 \h </w:instrText>
        </w:r>
        <w:r w:rsidR="00296434">
          <w:rPr>
            <w:noProof/>
            <w:webHidden/>
          </w:rPr>
        </w:r>
        <w:r w:rsidR="00296434">
          <w:rPr>
            <w:noProof/>
            <w:webHidden/>
          </w:rPr>
          <w:fldChar w:fldCharType="separate"/>
        </w:r>
        <w:r w:rsidR="00296434">
          <w:rPr>
            <w:noProof/>
            <w:webHidden/>
          </w:rPr>
          <w:t>13</w:t>
        </w:r>
        <w:r w:rsidR="00296434">
          <w:rPr>
            <w:noProof/>
            <w:webHidden/>
          </w:rPr>
          <w:fldChar w:fldCharType="end"/>
        </w:r>
      </w:hyperlink>
    </w:p>
    <w:p w14:paraId="57ED3E92" w14:textId="71D9409E" w:rsidR="00296434" w:rsidRDefault="00FD6EDA">
      <w:pPr>
        <w:pStyle w:val="TableofFigures"/>
        <w:tabs>
          <w:tab w:val="right" w:leader="dot" w:pos="9911"/>
        </w:tabs>
        <w:rPr>
          <w:noProof/>
        </w:rPr>
      </w:pPr>
      <w:hyperlink w:anchor="_Toc491783062" w:history="1">
        <w:r w:rsidR="00296434" w:rsidRPr="006E71D2">
          <w:rPr>
            <w:rStyle w:val="Hyperlink"/>
            <w:rFonts w:ascii="Century Gothic" w:hAnsi="Century Gothic"/>
            <w:b/>
            <w:bCs/>
            <w:noProof/>
          </w:rPr>
          <w:t xml:space="preserve">Figure </w:t>
        </w:r>
        <w:r w:rsidR="00296434" w:rsidRPr="006E71D2">
          <w:rPr>
            <w:rStyle w:val="Hyperlink"/>
            <w:rFonts w:ascii="Century Gothic" w:hAnsi="Century Gothic"/>
            <w:b/>
            <w:bCs/>
            <w:noProof/>
            <w:cs/>
          </w:rPr>
          <w:t>‎</w:t>
        </w:r>
        <w:r w:rsidR="00296434" w:rsidRPr="006E71D2">
          <w:rPr>
            <w:rStyle w:val="Hyperlink"/>
            <w:rFonts w:ascii="Century Gothic" w:hAnsi="Century Gothic"/>
            <w:b/>
            <w:bCs/>
            <w:noProof/>
          </w:rPr>
          <w:t>1.3 Percentage of Ngāi Tāmanuhiri speaking te reo Māori; 2001, 2006 and 2013 Censuses</w:t>
        </w:r>
        <w:r w:rsidR="00296434">
          <w:rPr>
            <w:noProof/>
            <w:webHidden/>
          </w:rPr>
          <w:tab/>
        </w:r>
        <w:r w:rsidR="00296434">
          <w:rPr>
            <w:noProof/>
            <w:webHidden/>
          </w:rPr>
          <w:fldChar w:fldCharType="begin"/>
        </w:r>
        <w:r w:rsidR="00296434">
          <w:rPr>
            <w:noProof/>
            <w:webHidden/>
          </w:rPr>
          <w:instrText xml:space="preserve"> PAGEREF _Toc491783062 \h </w:instrText>
        </w:r>
        <w:r w:rsidR="00296434">
          <w:rPr>
            <w:noProof/>
            <w:webHidden/>
          </w:rPr>
        </w:r>
        <w:r w:rsidR="00296434">
          <w:rPr>
            <w:noProof/>
            <w:webHidden/>
          </w:rPr>
          <w:fldChar w:fldCharType="separate"/>
        </w:r>
        <w:r w:rsidR="00296434">
          <w:rPr>
            <w:noProof/>
            <w:webHidden/>
          </w:rPr>
          <w:t>14</w:t>
        </w:r>
        <w:r w:rsidR="00296434">
          <w:rPr>
            <w:noProof/>
            <w:webHidden/>
          </w:rPr>
          <w:fldChar w:fldCharType="end"/>
        </w:r>
      </w:hyperlink>
    </w:p>
    <w:p w14:paraId="43865269" w14:textId="1EDEBEBF" w:rsidR="00296434" w:rsidRDefault="00FD6EDA">
      <w:pPr>
        <w:pStyle w:val="TableofFigures"/>
        <w:tabs>
          <w:tab w:val="right" w:leader="dot" w:pos="9911"/>
        </w:tabs>
        <w:rPr>
          <w:noProof/>
        </w:rPr>
      </w:pPr>
      <w:hyperlink w:anchor="_Toc491783063" w:history="1">
        <w:r w:rsidR="00296434" w:rsidRPr="006E71D2">
          <w:rPr>
            <w:rStyle w:val="Hyperlink"/>
            <w:rFonts w:ascii="Century Gothic" w:hAnsi="Century Gothic"/>
            <w:b/>
            <w:bCs/>
            <w:noProof/>
          </w:rPr>
          <w:t xml:space="preserve">Figure </w:t>
        </w:r>
        <w:r w:rsidR="00296434" w:rsidRPr="006E71D2">
          <w:rPr>
            <w:rStyle w:val="Hyperlink"/>
            <w:rFonts w:ascii="Century Gothic" w:hAnsi="Century Gothic"/>
            <w:b/>
            <w:bCs/>
            <w:noProof/>
            <w:cs/>
          </w:rPr>
          <w:t>‎</w:t>
        </w:r>
        <w:r w:rsidR="00296434" w:rsidRPr="006E71D2">
          <w:rPr>
            <w:rStyle w:val="Hyperlink"/>
            <w:rFonts w:ascii="Century Gothic" w:hAnsi="Century Gothic"/>
            <w:b/>
            <w:bCs/>
            <w:noProof/>
          </w:rPr>
          <w:t>1.4 Sex profile of Ngāi Tāmanuhiri and Ngāi Tāmanuhiri te reo Māori speakers compared with the total Māori descent population as recorded at the 2013 Census</w:t>
        </w:r>
        <w:r w:rsidR="00296434">
          <w:rPr>
            <w:noProof/>
            <w:webHidden/>
          </w:rPr>
          <w:tab/>
        </w:r>
        <w:r w:rsidR="00296434">
          <w:rPr>
            <w:noProof/>
            <w:webHidden/>
          </w:rPr>
          <w:fldChar w:fldCharType="begin"/>
        </w:r>
        <w:r w:rsidR="00296434">
          <w:rPr>
            <w:noProof/>
            <w:webHidden/>
          </w:rPr>
          <w:instrText xml:space="preserve"> PAGEREF _Toc491783063 \h </w:instrText>
        </w:r>
        <w:r w:rsidR="00296434">
          <w:rPr>
            <w:noProof/>
            <w:webHidden/>
          </w:rPr>
        </w:r>
        <w:r w:rsidR="00296434">
          <w:rPr>
            <w:noProof/>
            <w:webHidden/>
          </w:rPr>
          <w:fldChar w:fldCharType="separate"/>
        </w:r>
        <w:r w:rsidR="00296434">
          <w:rPr>
            <w:noProof/>
            <w:webHidden/>
          </w:rPr>
          <w:t>15</w:t>
        </w:r>
        <w:r w:rsidR="00296434">
          <w:rPr>
            <w:noProof/>
            <w:webHidden/>
          </w:rPr>
          <w:fldChar w:fldCharType="end"/>
        </w:r>
      </w:hyperlink>
    </w:p>
    <w:p w14:paraId="13146B27" w14:textId="762FB6A8" w:rsidR="00296434" w:rsidRDefault="00FD6EDA">
      <w:pPr>
        <w:pStyle w:val="TableofFigures"/>
        <w:tabs>
          <w:tab w:val="right" w:leader="dot" w:pos="9911"/>
        </w:tabs>
        <w:rPr>
          <w:noProof/>
        </w:rPr>
      </w:pPr>
      <w:hyperlink w:anchor="_Toc491783064" w:history="1">
        <w:r w:rsidR="00296434" w:rsidRPr="006E71D2">
          <w:rPr>
            <w:rStyle w:val="Hyperlink"/>
            <w:rFonts w:ascii="Century Gothic" w:hAnsi="Century Gothic"/>
            <w:b/>
            <w:bCs/>
            <w:noProof/>
          </w:rPr>
          <w:t xml:space="preserve">Figure </w:t>
        </w:r>
        <w:r w:rsidR="00296434" w:rsidRPr="006E71D2">
          <w:rPr>
            <w:rStyle w:val="Hyperlink"/>
            <w:rFonts w:ascii="Century Gothic" w:hAnsi="Century Gothic"/>
            <w:b/>
            <w:bCs/>
            <w:noProof/>
            <w:cs/>
          </w:rPr>
          <w:t>‎</w:t>
        </w:r>
        <w:r w:rsidR="00296434" w:rsidRPr="006E71D2">
          <w:rPr>
            <w:rStyle w:val="Hyperlink"/>
            <w:rFonts w:ascii="Century Gothic" w:hAnsi="Century Gothic"/>
            <w:b/>
            <w:bCs/>
            <w:noProof/>
          </w:rPr>
          <w:t>1.5 Percentage of Ngāi Tāmanuhiri and the Māori descent population speaking te reo Māori disaggregated by sex; 2013 Census</w:t>
        </w:r>
        <w:r w:rsidR="00296434">
          <w:rPr>
            <w:noProof/>
            <w:webHidden/>
          </w:rPr>
          <w:tab/>
        </w:r>
        <w:r w:rsidR="00296434">
          <w:rPr>
            <w:noProof/>
            <w:webHidden/>
          </w:rPr>
          <w:fldChar w:fldCharType="begin"/>
        </w:r>
        <w:r w:rsidR="00296434">
          <w:rPr>
            <w:noProof/>
            <w:webHidden/>
          </w:rPr>
          <w:instrText xml:space="preserve"> PAGEREF _Toc491783064 \h </w:instrText>
        </w:r>
        <w:r w:rsidR="00296434">
          <w:rPr>
            <w:noProof/>
            <w:webHidden/>
          </w:rPr>
        </w:r>
        <w:r w:rsidR="00296434">
          <w:rPr>
            <w:noProof/>
            <w:webHidden/>
          </w:rPr>
          <w:fldChar w:fldCharType="separate"/>
        </w:r>
        <w:r w:rsidR="00296434">
          <w:rPr>
            <w:noProof/>
            <w:webHidden/>
          </w:rPr>
          <w:t>16</w:t>
        </w:r>
        <w:r w:rsidR="00296434">
          <w:rPr>
            <w:noProof/>
            <w:webHidden/>
          </w:rPr>
          <w:fldChar w:fldCharType="end"/>
        </w:r>
      </w:hyperlink>
    </w:p>
    <w:p w14:paraId="115F64F4" w14:textId="21D07031" w:rsidR="00296434" w:rsidRDefault="00FD6EDA">
      <w:pPr>
        <w:pStyle w:val="TableofFigures"/>
        <w:tabs>
          <w:tab w:val="right" w:leader="dot" w:pos="9911"/>
        </w:tabs>
        <w:rPr>
          <w:noProof/>
        </w:rPr>
      </w:pPr>
      <w:hyperlink w:anchor="_Toc491783065" w:history="1">
        <w:r w:rsidR="00296434" w:rsidRPr="006E71D2">
          <w:rPr>
            <w:rStyle w:val="Hyperlink"/>
            <w:rFonts w:ascii="Century Gothic" w:hAnsi="Century Gothic"/>
            <w:b/>
            <w:bCs/>
            <w:noProof/>
          </w:rPr>
          <w:t xml:space="preserve">Figure </w:t>
        </w:r>
        <w:r w:rsidR="00296434" w:rsidRPr="006E71D2">
          <w:rPr>
            <w:rStyle w:val="Hyperlink"/>
            <w:rFonts w:ascii="Century Gothic" w:hAnsi="Century Gothic"/>
            <w:b/>
            <w:bCs/>
            <w:noProof/>
            <w:cs/>
          </w:rPr>
          <w:t>‎</w:t>
        </w:r>
        <w:r w:rsidR="00296434" w:rsidRPr="006E71D2">
          <w:rPr>
            <w:rStyle w:val="Hyperlink"/>
            <w:rFonts w:ascii="Century Gothic" w:hAnsi="Century Gothic"/>
            <w:b/>
            <w:bCs/>
            <w:noProof/>
          </w:rPr>
          <w:t>1.6 Age-sex profile of Ngāi Tāmanuhiri and Ngāi Tāmanuhiri te reo Māori speakers compared with the total Māori descent population as recorded at the 2013 Census</w:t>
        </w:r>
        <w:r w:rsidR="00296434">
          <w:rPr>
            <w:noProof/>
            <w:webHidden/>
          </w:rPr>
          <w:tab/>
        </w:r>
        <w:r w:rsidR="00296434">
          <w:rPr>
            <w:noProof/>
            <w:webHidden/>
          </w:rPr>
          <w:fldChar w:fldCharType="begin"/>
        </w:r>
        <w:r w:rsidR="00296434">
          <w:rPr>
            <w:noProof/>
            <w:webHidden/>
          </w:rPr>
          <w:instrText xml:space="preserve"> PAGEREF _Toc491783065 \h </w:instrText>
        </w:r>
        <w:r w:rsidR="00296434">
          <w:rPr>
            <w:noProof/>
            <w:webHidden/>
          </w:rPr>
        </w:r>
        <w:r w:rsidR="00296434">
          <w:rPr>
            <w:noProof/>
            <w:webHidden/>
          </w:rPr>
          <w:fldChar w:fldCharType="separate"/>
        </w:r>
        <w:r w:rsidR="00296434">
          <w:rPr>
            <w:noProof/>
            <w:webHidden/>
          </w:rPr>
          <w:t>17</w:t>
        </w:r>
        <w:r w:rsidR="00296434">
          <w:rPr>
            <w:noProof/>
            <w:webHidden/>
          </w:rPr>
          <w:fldChar w:fldCharType="end"/>
        </w:r>
      </w:hyperlink>
    </w:p>
    <w:p w14:paraId="13B09772" w14:textId="1E6E91D3" w:rsidR="00296434" w:rsidRDefault="00FD6EDA">
      <w:pPr>
        <w:pStyle w:val="TableofFigures"/>
        <w:tabs>
          <w:tab w:val="right" w:leader="dot" w:pos="9911"/>
        </w:tabs>
        <w:rPr>
          <w:noProof/>
        </w:rPr>
      </w:pPr>
      <w:hyperlink w:anchor="_Toc491783066" w:history="1">
        <w:r w:rsidR="00296434" w:rsidRPr="006E71D2">
          <w:rPr>
            <w:rStyle w:val="Hyperlink"/>
            <w:rFonts w:ascii="Century Gothic" w:hAnsi="Century Gothic"/>
            <w:b/>
            <w:bCs/>
            <w:noProof/>
          </w:rPr>
          <w:t xml:space="preserve">Figure </w:t>
        </w:r>
        <w:r w:rsidR="00296434" w:rsidRPr="006E71D2">
          <w:rPr>
            <w:rStyle w:val="Hyperlink"/>
            <w:rFonts w:ascii="Century Gothic" w:hAnsi="Century Gothic"/>
            <w:b/>
            <w:bCs/>
            <w:noProof/>
            <w:cs/>
          </w:rPr>
          <w:t>‎</w:t>
        </w:r>
        <w:r w:rsidR="00296434" w:rsidRPr="006E71D2">
          <w:rPr>
            <w:rStyle w:val="Hyperlink"/>
            <w:rFonts w:ascii="Century Gothic" w:hAnsi="Century Gothic"/>
            <w:b/>
            <w:bCs/>
            <w:noProof/>
          </w:rPr>
          <w:t>1.7 Broad age-specific rates of te reo Māori speakers, Ngāi Tāmanuhiri and Māori descent population; 2013 Census</w:t>
        </w:r>
        <w:r w:rsidR="00296434">
          <w:rPr>
            <w:noProof/>
            <w:webHidden/>
          </w:rPr>
          <w:tab/>
        </w:r>
        <w:r w:rsidR="00296434">
          <w:rPr>
            <w:noProof/>
            <w:webHidden/>
          </w:rPr>
          <w:fldChar w:fldCharType="begin"/>
        </w:r>
        <w:r w:rsidR="00296434">
          <w:rPr>
            <w:noProof/>
            <w:webHidden/>
          </w:rPr>
          <w:instrText xml:space="preserve"> PAGEREF _Toc491783066 \h </w:instrText>
        </w:r>
        <w:r w:rsidR="00296434">
          <w:rPr>
            <w:noProof/>
            <w:webHidden/>
          </w:rPr>
        </w:r>
        <w:r w:rsidR="00296434">
          <w:rPr>
            <w:noProof/>
            <w:webHidden/>
          </w:rPr>
          <w:fldChar w:fldCharType="separate"/>
        </w:r>
        <w:r w:rsidR="00296434">
          <w:rPr>
            <w:noProof/>
            <w:webHidden/>
          </w:rPr>
          <w:t>18</w:t>
        </w:r>
        <w:r w:rsidR="00296434">
          <w:rPr>
            <w:noProof/>
            <w:webHidden/>
          </w:rPr>
          <w:fldChar w:fldCharType="end"/>
        </w:r>
      </w:hyperlink>
    </w:p>
    <w:p w14:paraId="78AEA9BB" w14:textId="2FCF296B" w:rsidR="00296434" w:rsidRDefault="00FD6EDA">
      <w:pPr>
        <w:pStyle w:val="TableofFigures"/>
        <w:tabs>
          <w:tab w:val="right" w:leader="dot" w:pos="9911"/>
        </w:tabs>
        <w:rPr>
          <w:noProof/>
        </w:rPr>
      </w:pPr>
      <w:hyperlink w:anchor="_Toc491783067" w:history="1">
        <w:r w:rsidR="00296434" w:rsidRPr="006E71D2">
          <w:rPr>
            <w:rStyle w:val="Hyperlink"/>
            <w:rFonts w:ascii="Century Gothic" w:hAnsi="Century Gothic"/>
            <w:b/>
            <w:bCs/>
            <w:noProof/>
          </w:rPr>
          <w:t xml:space="preserve">Figure </w:t>
        </w:r>
        <w:r w:rsidR="00296434" w:rsidRPr="006E71D2">
          <w:rPr>
            <w:rStyle w:val="Hyperlink"/>
            <w:rFonts w:ascii="Century Gothic" w:hAnsi="Century Gothic"/>
            <w:b/>
            <w:bCs/>
            <w:noProof/>
            <w:cs/>
          </w:rPr>
          <w:t>‎</w:t>
        </w:r>
        <w:r w:rsidR="00296434" w:rsidRPr="006E71D2">
          <w:rPr>
            <w:rStyle w:val="Hyperlink"/>
            <w:rFonts w:ascii="Century Gothic" w:hAnsi="Century Gothic"/>
            <w:b/>
            <w:bCs/>
            <w:noProof/>
          </w:rPr>
          <w:t>1.8 Broad age-specific rates of te reo Māori speakers for Ngāi Tāmanuhiri; 2001 and 2013 Census</w:t>
        </w:r>
        <w:r w:rsidR="00296434">
          <w:rPr>
            <w:noProof/>
            <w:webHidden/>
          </w:rPr>
          <w:tab/>
        </w:r>
        <w:r w:rsidR="00296434">
          <w:rPr>
            <w:noProof/>
            <w:webHidden/>
          </w:rPr>
          <w:fldChar w:fldCharType="begin"/>
        </w:r>
        <w:r w:rsidR="00296434">
          <w:rPr>
            <w:noProof/>
            <w:webHidden/>
          </w:rPr>
          <w:instrText xml:space="preserve"> PAGEREF _Toc491783067 \h </w:instrText>
        </w:r>
        <w:r w:rsidR="00296434">
          <w:rPr>
            <w:noProof/>
            <w:webHidden/>
          </w:rPr>
        </w:r>
        <w:r w:rsidR="00296434">
          <w:rPr>
            <w:noProof/>
            <w:webHidden/>
          </w:rPr>
          <w:fldChar w:fldCharType="separate"/>
        </w:r>
        <w:r w:rsidR="00296434">
          <w:rPr>
            <w:noProof/>
            <w:webHidden/>
          </w:rPr>
          <w:t>19</w:t>
        </w:r>
        <w:r w:rsidR="00296434">
          <w:rPr>
            <w:noProof/>
            <w:webHidden/>
          </w:rPr>
          <w:fldChar w:fldCharType="end"/>
        </w:r>
      </w:hyperlink>
    </w:p>
    <w:p w14:paraId="5FB26969" w14:textId="74C4E4E1" w:rsidR="00296434" w:rsidRDefault="00FD6EDA">
      <w:pPr>
        <w:pStyle w:val="TableofFigures"/>
        <w:tabs>
          <w:tab w:val="right" w:leader="dot" w:pos="9911"/>
        </w:tabs>
        <w:rPr>
          <w:noProof/>
        </w:rPr>
      </w:pPr>
      <w:hyperlink w:anchor="_Toc491783068" w:history="1">
        <w:r w:rsidR="00296434" w:rsidRPr="006E71D2">
          <w:rPr>
            <w:rStyle w:val="Hyperlink"/>
            <w:rFonts w:ascii="Century Gothic" w:hAnsi="Century Gothic"/>
            <w:b/>
            <w:bCs/>
            <w:noProof/>
          </w:rPr>
          <w:t xml:space="preserve">Figure </w:t>
        </w:r>
        <w:r w:rsidR="00296434" w:rsidRPr="006E71D2">
          <w:rPr>
            <w:rStyle w:val="Hyperlink"/>
            <w:rFonts w:ascii="Century Gothic" w:hAnsi="Century Gothic"/>
            <w:b/>
            <w:bCs/>
            <w:noProof/>
            <w:cs/>
          </w:rPr>
          <w:t>‎</w:t>
        </w:r>
        <w:r w:rsidR="00296434" w:rsidRPr="006E71D2">
          <w:rPr>
            <w:rStyle w:val="Hyperlink"/>
            <w:rFonts w:ascii="Century Gothic" w:hAnsi="Century Gothic"/>
            <w:b/>
            <w:bCs/>
            <w:noProof/>
          </w:rPr>
          <w:t>1.9 Percentage of Ngāi Tāmanuhiri and the Māori descent population speaking te reo Māori disaggregated by region; 2013 Census</w:t>
        </w:r>
        <w:r w:rsidR="00296434">
          <w:rPr>
            <w:noProof/>
            <w:webHidden/>
          </w:rPr>
          <w:tab/>
        </w:r>
        <w:r w:rsidR="00296434">
          <w:rPr>
            <w:noProof/>
            <w:webHidden/>
          </w:rPr>
          <w:fldChar w:fldCharType="begin"/>
        </w:r>
        <w:r w:rsidR="00296434">
          <w:rPr>
            <w:noProof/>
            <w:webHidden/>
          </w:rPr>
          <w:instrText xml:space="preserve"> PAGEREF _Toc491783068 \h </w:instrText>
        </w:r>
        <w:r w:rsidR="00296434">
          <w:rPr>
            <w:noProof/>
            <w:webHidden/>
          </w:rPr>
        </w:r>
        <w:r w:rsidR="00296434">
          <w:rPr>
            <w:noProof/>
            <w:webHidden/>
          </w:rPr>
          <w:fldChar w:fldCharType="separate"/>
        </w:r>
        <w:r w:rsidR="00296434">
          <w:rPr>
            <w:noProof/>
            <w:webHidden/>
          </w:rPr>
          <w:t>21</w:t>
        </w:r>
        <w:r w:rsidR="00296434">
          <w:rPr>
            <w:noProof/>
            <w:webHidden/>
          </w:rPr>
          <w:fldChar w:fldCharType="end"/>
        </w:r>
      </w:hyperlink>
    </w:p>
    <w:p w14:paraId="5A82D25C" w14:textId="7D729CA5" w:rsidR="00296434" w:rsidRDefault="00FD6EDA">
      <w:pPr>
        <w:pStyle w:val="TableofFigures"/>
        <w:tabs>
          <w:tab w:val="right" w:leader="dot" w:pos="9911"/>
        </w:tabs>
        <w:rPr>
          <w:noProof/>
        </w:rPr>
      </w:pPr>
      <w:hyperlink w:anchor="_Toc491783069" w:history="1">
        <w:r w:rsidR="00296434" w:rsidRPr="006E71D2">
          <w:rPr>
            <w:rStyle w:val="Hyperlink"/>
            <w:rFonts w:ascii="Century Gothic" w:hAnsi="Century Gothic"/>
            <w:b/>
            <w:bCs/>
            <w:noProof/>
          </w:rPr>
          <w:t xml:space="preserve">Figure </w:t>
        </w:r>
        <w:r w:rsidR="00296434" w:rsidRPr="006E71D2">
          <w:rPr>
            <w:rStyle w:val="Hyperlink"/>
            <w:rFonts w:ascii="Century Gothic" w:hAnsi="Century Gothic"/>
            <w:b/>
            <w:bCs/>
            <w:noProof/>
            <w:cs/>
          </w:rPr>
          <w:t>‎</w:t>
        </w:r>
        <w:r w:rsidR="00296434" w:rsidRPr="006E71D2">
          <w:rPr>
            <w:rStyle w:val="Hyperlink"/>
            <w:rFonts w:ascii="Century Gothic" w:hAnsi="Century Gothic"/>
            <w:b/>
            <w:bCs/>
            <w:noProof/>
          </w:rPr>
          <w:t>2.1 Usual residence five years ago for Ngāi Tāmanuhiri; 2006 and 2013 Censuses</w:t>
        </w:r>
        <w:r w:rsidR="00296434">
          <w:rPr>
            <w:noProof/>
            <w:webHidden/>
          </w:rPr>
          <w:tab/>
        </w:r>
        <w:r w:rsidR="00296434">
          <w:rPr>
            <w:noProof/>
            <w:webHidden/>
          </w:rPr>
          <w:fldChar w:fldCharType="begin"/>
        </w:r>
        <w:r w:rsidR="00296434">
          <w:rPr>
            <w:noProof/>
            <w:webHidden/>
          </w:rPr>
          <w:instrText xml:space="preserve"> PAGEREF _Toc491783069 \h </w:instrText>
        </w:r>
        <w:r w:rsidR="00296434">
          <w:rPr>
            <w:noProof/>
            <w:webHidden/>
          </w:rPr>
        </w:r>
        <w:r w:rsidR="00296434">
          <w:rPr>
            <w:noProof/>
            <w:webHidden/>
          </w:rPr>
          <w:fldChar w:fldCharType="separate"/>
        </w:r>
        <w:r w:rsidR="00296434">
          <w:rPr>
            <w:noProof/>
            <w:webHidden/>
          </w:rPr>
          <w:t>22</w:t>
        </w:r>
        <w:r w:rsidR="00296434">
          <w:rPr>
            <w:noProof/>
            <w:webHidden/>
          </w:rPr>
          <w:fldChar w:fldCharType="end"/>
        </w:r>
      </w:hyperlink>
    </w:p>
    <w:p w14:paraId="67CCFEDE" w14:textId="71930D81" w:rsidR="00296434" w:rsidRDefault="00FD6EDA">
      <w:pPr>
        <w:pStyle w:val="TableofFigures"/>
        <w:tabs>
          <w:tab w:val="right" w:leader="dot" w:pos="9911"/>
        </w:tabs>
        <w:rPr>
          <w:noProof/>
        </w:rPr>
      </w:pPr>
      <w:hyperlink w:anchor="_Toc491783070" w:history="1">
        <w:r w:rsidR="00296434" w:rsidRPr="006E71D2">
          <w:rPr>
            <w:rStyle w:val="Hyperlink"/>
            <w:rFonts w:ascii="Century Gothic" w:hAnsi="Century Gothic"/>
            <w:b/>
            <w:bCs/>
            <w:noProof/>
          </w:rPr>
          <w:t xml:space="preserve">Figure </w:t>
        </w:r>
        <w:r w:rsidR="00296434" w:rsidRPr="006E71D2">
          <w:rPr>
            <w:rStyle w:val="Hyperlink"/>
            <w:rFonts w:ascii="Century Gothic" w:hAnsi="Century Gothic"/>
            <w:b/>
            <w:bCs/>
            <w:noProof/>
            <w:cs/>
          </w:rPr>
          <w:t>‎</w:t>
        </w:r>
        <w:r w:rsidR="00296434" w:rsidRPr="006E71D2">
          <w:rPr>
            <w:rStyle w:val="Hyperlink"/>
            <w:rFonts w:ascii="Century Gothic" w:hAnsi="Century Gothic"/>
            <w:b/>
            <w:bCs/>
            <w:noProof/>
          </w:rPr>
          <w:t>2.2 Usual residence five years ago for Ngāi Tāmanuhiri and the Māori descent population; Census 2013</w:t>
        </w:r>
        <w:r w:rsidR="00296434">
          <w:rPr>
            <w:noProof/>
            <w:webHidden/>
          </w:rPr>
          <w:tab/>
        </w:r>
        <w:r w:rsidR="00296434">
          <w:rPr>
            <w:noProof/>
            <w:webHidden/>
          </w:rPr>
          <w:fldChar w:fldCharType="begin"/>
        </w:r>
        <w:r w:rsidR="00296434">
          <w:rPr>
            <w:noProof/>
            <w:webHidden/>
          </w:rPr>
          <w:instrText xml:space="preserve"> PAGEREF _Toc491783070 \h </w:instrText>
        </w:r>
        <w:r w:rsidR="00296434">
          <w:rPr>
            <w:noProof/>
            <w:webHidden/>
          </w:rPr>
        </w:r>
        <w:r w:rsidR="00296434">
          <w:rPr>
            <w:noProof/>
            <w:webHidden/>
          </w:rPr>
          <w:fldChar w:fldCharType="separate"/>
        </w:r>
        <w:r w:rsidR="00296434">
          <w:rPr>
            <w:noProof/>
            <w:webHidden/>
          </w:rPr>
          <w:t>22</w:t>
        </w:r>
        <w:r w:rsidR="00296434">
          <w:rPr>
            <w:noProof/>
            <w:webHidden/>
          </w:rPr>
          <w:fldChar w:fldCharType="end"/>
        </w:r>
      </w:hyperlink>
    </w:p>
    <w:p w14:paraId="3E5A769F" w14:textId="64D5FC83" w:rsidR="00296434" w:rsidRDefault="00FD6EDA">
      <w:pPr>
        <w:pStyle w:val="TableofFigures"/>
        <w:tabs>
          <w:tab w:val="right" w:leader="dot" w:pos="9911"/>
        </w:tabs>
        <w:rPr>
          <w:noProof/>
        </w:rPr>
      </w:pPr>
      <w:hyperlink w:anchor="_Toc491783071" w:history="1">
        <w:r w:rsidR="00296434" w:rsidRPr="006E71D2">
          <w:rPr>
            <w:rStyle w:val="Hyperlink"/>
            <w:rFonts w:ascii="Century Gothic" w:hAnsi="Century Gothic"/>
            <w:b/>
            <w:bCs/>
            <w:noProof/>
          </w:rPr>
          <w:t xml:space="preserve">Figure </w:t>
        </w:r>
        <w:r w:rsidR="00296434" w:rsidRPr="006E71D2">
          <w:rPr>
            <w:rStyle w:val="Hyperlink"/>
            <w:rFonts w:ascii="Century Gothic" w:hAnsi="Century Gothic"/>
            <w:b/>
            <w:bCs/>
            <w:noProof/>
            <w:cs/>
          </w:rPr>
          <w:t>‎</w:t>
        </w:r>
        <w:r w:rsidR="00296434" w:rsidRPr="006E71D2">
          <w:rPr>
            <w:rStyle w:val="Hyperlink"/>
            <w:rFonts w:ascii="Century Gothic" w:hAnsi="Century Gothic"/>
            <w:b/>
            <w:bCs/>
            <w:noProof/>
          </w:rPr>
          <w:t>2.3 Usual residence five years ago for Ngāi Tāmanuhiri disaggregated by area of residence; Census 2013</w:t>
        </w:r>
        <w:r w:rsidR="00296434">
          <w:rPr>
            <w:noProof/>
            <w:webHidden/>
          </w:rPr>
          <w:tab/>
        </w:r>
        <w:r w:rsidR="00296434">
          <w:rPr>
            <w:noProof/>
            <w:webHidden/>
          </w:rPr>
          <w:fldChar w:fldCharType="begin"/>
        </w:r>
        <w:r w:rsidR="00296434">
          <w:rPr>
            <w:noProof/>
            <w:webHidden/>
          </w:rPr>
          <w:instrText xml:space="preserve"> PAGEREF _Toc491783071 \h </w:instrText>
        </w:r>
        <w:r w:rsidR="00296434">
          <w:rPr>
            <w:noProof/>
            <w:webHidden/>
          </w:rPr>
        </w:r>
        <w:r w:rsidR="00296434">
          <w:rPr>
            <w:noProof/>
            <w:webHidden/>
          </w:rPr>
          <w:fldChar w:fldCharType="separate"/>
        </w:r>
        <w:r w:rsidR="00296434">
          <w:rPr>
            <w:noProof/>
            <w:webHidden/>
          </w:rPr>
          <w:t>23</w:t>
        </w:r>
        <w:r w:rsidR="00296434">
          <w:rPr>
            <w:noProof/>
            <w:webHidden/>
          </w:rPr>
          <w:fldChar w:fldCharType="end"/>
        </w:r>
      </w:hyperlink>
    </w:p>
    <w:p w14:paraId="2F8581C9" w14:textId="3EAED6F6" w:rsidR="00296434" w:rsidRDefault="00FD6EDA">
      <w:pPr>
        <w:pStyle w:val="TableofFigures"/>
        <w:tabs>
          <w:tab w:val="right" w:leader="dot" w:pos="9911"/>
        </w:tabs>
        <w:rPr>
          <w:noProof/>
        </w:rPr>
      </w:pPr>
      <w:hyperlink w:anchor="_Toc491783072" w:history="1">
        <w:r w:rsidR="00296434" w:rsidRPr="006E71D2">
          <w:rPr>
            <w:rStyle w:val="Hyperlink"/>
            <w:rFonts w:ascii="Century Gothic" w:hAnsi="Century Gothic"/>
            <w:b/>
            <w:bCs/>
            <w:noProof/>
          </w:rPr>
          <w:t xml:space="preserve">Figure </w:t>
        </w:r>
        <w:r w:rsidR="00296434" w:rsidRPr="006E71D2">
          <w:rPr>
            <w:rStyle w:val="Hyperlink"/>
            <w:rFonts w:ascii="Century Gothic" w:hAnsi="Century Gothic"/>
            <w:b/>
            <w:bCs/>
            <w:noProof/>
            <w:cs/>
          </w:rPr>
          <w:t>‎</w:t>
        </w:r>
        <w:r w:rsidR="00296434" w:rsidRPr="006E71D2">
          <w:rPr>
            <w:rStyle w:val="Hyperlink"/>
            <w:rFonts w:ascii="Century Gothic" w:hAnsi="Century Gothic"/>
            <w:b/>
            <w:bCs/>
            <w:noProof/>
          </w:rPr>
          <w:t>2.4 Usual residence five years ago as recorded at the 2013 Census for te reo Māori speakers; Ngāi Tāmanuhiri and the Māori descent population</w:t>
        </w:r>
        <w:r w:rsidR="00296434">
          <w:rPr>
            <w:noProof/>
            <w:webHidden/>
          </w:rPr>
          <w:tab/>
        </w:r>
        <w:r w:rsidR="00296434">
          <w:rPr>
            <w:noProof/>
            <w:webHidden/>
          </w:rPr>
          <w:fldChar w:fldCharType="begin"/>
        </w:r>
        <w:r w:rsidR="00296434">
          <w:rPr>
            <w:noProof/>
            <w:webHidden/>
          </w:rPr>
          <w:instrText xml:space="preserve"> PAGEREF _Toc491783072 \h </w:instrText>
        </w:r>
        <w:r w:rsidR="00296434">
          <w:rPr>
            <w:noProof/>
            <w:webHidden/>
          </w:rPr>
        </w:r>
        <w:r w:rsidR="00296434">
          <w:rPr>
            <w:noProof/>
            <w:webHidden/>
          </w:rPr>
          <w:fldChar w:fldCharType="separate"/>
        </w:r>
        <w:r w:rsidR="00296434">
          <w:rPr>
            <w:noProof/>
            <w:webHidden/>
          </w:rPr>
          <w:t>24</w:t>
        </w:r>
        <w:r w:rsidR="00296434">
          <w:rPr>
            <w:noProof/>
            <w:webHidden/>
          </w:rPr>
          <w:fldChar w:fldCharType="end"/>
        </w:r>
      </w:hyperlink>
    </w:p>
    <w:p w14:paraId="2FD0D58F" w14:textId="2FA6E8C6" w:rsidR="00296434" w:rsidRDefault="00FD6EDA">
      <w:pPr>
        <w:pStyle w:val="TableofFigures"/>
        <w:tabs>
          <w:tab w:val="right" w:leader="dot" w:pos="9911"/>
        </w:tabs>
        <w:rPr>
          <w:noProof/>
        </w:rPr>
      </w:pPr>
      <w:hyperlink w:anchor="_Toc491783073" w:history="1">
        <w:r w:rsidR="00296434" w:rsidRPr="006E71D2">
          <w:rPr>
            <w:rStyle w:val="Hyperlink"/>
            <w:rFonts w:ascii="Century Gothic" w:hAnsi="Century Gothic"/>
            <w:b/>
            <w:bCs/>
            <w:noProof/>
          </w:rPr>
          <w:t xml:space="preserve">Figure </w:t>
        </w:r>
        <w:r w:rsidR="00296434" w:rsidRPr="006E71D2">
          <w:rPr>
            <w:rStyle w:val="Hyperlink"/>
            <w:rFonts w:ascii="Century Gothic" w:hAnsi="Century Gothic"/>
            <w:b/>
            <w:bCs/>
            <w:noProof/>
            <w:cs/>
          </w:rPr>
          <w:t>‎</w:t>
        </w:r>
        <w:r w:rsidR="00296434" w:rsidRPr="006E71D2">
          <w:rPr>
            <w:rStyle w:val="Hyperlink"/>
            <w:rFonts w:ascii="Century Gothic" w:hAnsi="Century Gothic"/>
            <w:b/>
            <w:bCs/>
            <w:noProof/>
          </w:rPr>
          <w:t>2.5 Usual residence five years ago as recorded at the 2013 Census for te reo Māori speakers; Ngāi Tāmanuhiri resident in Gisborne and rest of New Zealand</w:t>
        </w:r>
        <w:r w:rsidR="00296434">
          <w:rPr>
            <w:noProof/>
            <w:webHidden/>
          </w:rPr>
          <w:tab/>
        </w:r>
        <w:r w:rsidR="00296434">
          <w:rPr>
            <w:noProof/>
            <w:webHidden/>
          </w:rPr>
          <w:fldChar w:fldCharType="begin"/>
        </w:r>
        <w:r w:rsidR="00296434">
          <w:rPr>
            <w:noProof/>
            <w:webHidden/>
          </w:rPr>
          <w:instrText xml:space="preserve"> PAGEREF _Toc491783073 \h </w:instrText>
        </w:r>
        <w:r w:rsidR="00296434">
          <w:rPr>
            <w:noProof/>
            <w:webHidden/>
          </w:rPr>
        </w:r>
        <w:r w:rsidR="00296434">
          <w:rPr>
            <w:noProof/>
            <w:webHidden/>
          </w:rPr>
          <w:fldChar w:fldCharType="separate"/>
        </w:r>
        <w:r w:rsidR="00296434">
          <w:rPr>
            <w:noProof/>
            <w:webHidden/>
          </w:rPr>
          <w:t>25</w:t>
        </w:r>
        <w:r w:rsidR="00296434">
          <w:rPr>
            <w:noProof/>
            <w:webHidden/>
          </w:rPr>
          <w:fldChar w:fldCharType="end"/>
        </w:r>
      </w:hyperlink>
    </w:p>
    <w:p w14:paraId="799DAB1C" w14:textId="0F44918A" w:rsidR="00296434" w:rsidRDefault="00FD6EDA">
      <w:pPr>
        <w:pStyle w:val="TableofFigures"/>
        <w:tabs>
          <w:tab w:val="right" w:leader="dot" w:pos="9911"/>
        </w:tabs>
        <w:rPr>
          <w:noProof/>
        </w:rPr>
      </w:pPr>
      <w:hyperlink w:anchor="_Toc491783074" w:history="1">
        <w:r w:rsidR="00296434" w:rsidRPr="006E71D2">
          <w:rPr>
            <w:rStyle w:val="Hyperlink"/>
            <w:rFonts w:ascii="Century Gothic" w:hAnsi="Century Gothic"/>
            <w:b/>
            <w:bCs/>
            <w:noProof/>
          </w:rPr>
          <w:t xml:space="preserve">Figure </w:t>
        </w:r>
        <w:r w:rsidR="00296434" w:rsidRPr="006E71D2">
          <w:rPr>
            <w:rStyle w:val="Hyperlink"/>
            <w:rFonts w:ascii="Century Gothic" w:hAnsi="Century Gothic"/>
            <w:b/>
            <w:bCs/>
            <w:noProof/>
            <w:cs/>
          </w:rPr>
          <w:t>‎</w:t>
        </w:r>
        <w:r w:rsidR="00296434" w:rsidRPr="006E71D2">
          <w:rPr>
            <w:rStyle w:val="Hyperlink"/>
            <w:rFonts w:ascii="Century Gothic" w:hAnsi="Century Gothic"/>
            <w:b/>
            <w:bCs/>
            <w:noProof/>
          </w:rPr>
          <w:t>3.1 Highest qualification of Ngāi Tāmanuhiri adults aged 15+ and the total Māori descent population; 2006 and 2013 Censuses</w:t>
        </w:r>
        <w:r w:rsidR="00296434">
          <w:rPr>
            <w:noProof/>
            <w:webHidden/>
          </w:rPr>
          <w:tab/>
        </w:r>
        <w:r w:rsidR="00296434">
          <w:rPr>
            <w:noProof/>
            <w:webHidden/>
          </w:rPr>
          <w:fldChar w:fldCharType="begin"/>
        </w:r>
        <w:r w:rsidR="00296434">
          <w:rPr>
            <w:noProof/>
            <w:webHidden/>
          </w:rPr>
          <w:instrText xml:space="preserve"> PAGEREF _Toc491783074 \h </w:instrText>
        </w:r>
        <w:r w:rsidR="00296434">
          <w:rPr>
            <w:noProof/>
            <w:webHidden/>
          </w:rPr>
        </w:r>
        <w:r w:rsidR="00296434">
          <w:rPr>
            <w:noProof/>
            <w:webHidden/>
          </w:rPr>
          <w:fldChar w:fldCharType="separate"/>
        </w:r>
        <w:r w:rsidR="00296434">
          <w:rPr>
            <w:noProof/>
            <w:webHidden/>
          </w:rPr>
          <w:t>26</w:t>
        </w:r>
        <w:r w:rsidR="00296434">
          <w:rPr>
            <w:noProof/>
            <w:webHidden/>
          </w:rPr>
          <w:fldChar w:fldCharType="end"/>
        </w:r>
      </w:hyperlink>
    </w:p>
    <w:p w14:paraId="30BA3B0C" w14:textId="006530EB" w:rsidR="00296434" w:rsidRDefault="00FD6EDA">
      <w:pPr>
        <w:pStyle w:val="TableofFigures"/>
        <w:tabs>
          <w:tab w:val="right" w:leader="dot" w:pos="9911"/>
        </w:tabs>
        <w:rPr>
          <w:noProof/>
        </w:rPr>
      </w:pPr>
      <w:hyperlink w:anchor="_Toc491783075" w:history="1">
        <w:r w:rsidR="00296434" w:rsidRPr="006E71D2">
          <w:rPr>
            <w:rStyle w:val="Hyperlink"/>
            <w:rFonts w:ascii="Century Gothic" w:hAnsi="Century Gothic"/>
            <w:b/>
            <w:bCs/>
            <w:noProof/>
          </w:rPr>
          <w:t xml:space="preserve">Figure </w:t>
        </w:r>
        <w:r w:rsidR="00296434" w:rsidRPr="006E71D2">
          <w:rPr>
            <w:rStyle w:val="Hyperlink"/>
            <w:rFonts w:ascii="Century Gothic" w:hAnsi="Century Gothic"/>
            <w:b/>
            <w:bCs/>
            <w:noProof/>
            <w:cs/>
          </w:rPr>
          <w:t>‎</w:t>
        </w:r>
        <w:r w:rsidR="00296434" w:rsidRPr="006E71D2">
          <w:rPr>
            <w:rStyle w:val="Hyperlink"/>
            <w:rFonts w:ascii="Century Gothic" w:hAnsi="Century Gothic"/>
            <w:b/>
            <w:bCs/>
            <w:noProof/>
          </w:rPr>
          <w:t>3.2 Highest qualification of Ngāi Tāmanuhiri adults aged 15+ resident in Gisborne and rest of New Zealand; Census 2013</w:t>
        </w:r>
        <w:r w:rsidR="00296434">
          <w:rPr>
            <w:noProof/>
            <w:webHidden/>
          </w:rPr>
          <w:tab/>
        </w:r>
        <w:r w:rsidR="00296434">
          <w:rPr>
            <w:noProof/>
            <w:webHidden/>
          </w:rPr>
          <w:fldChar w:fldCharType="begin"/>
        </w:r>
        <w:r w:rsidR="00296434">
          <w:rPr>
            <w:noProof/>
            <w:webHidden/>
          </w:rPr>
          <w:instrText xml:space="preserve"> PAGEREF _Toc491783075 \h </w:instrText>
        </w:r>
        <w:r w:rsidR="00296434">
          <w:rPr>
            <w:noProof/>
            <w:webHidden/>
          </w:rPr>
        </w:r>
        <w:r w:rsidR="00296434">
          <w:rPr>
            <w:noProof/>
            <w:webHidden/>
          </w:rPr>
          <w:fldChar w:fldCharType="separate"/>
        </w:r>
        <w:r w:rsidR="00296434">
          <w:rPr>
            <w:noProof/>
            <w:webHidden/>
          </w:rPr>
          <w:t>27</w:t>
        </w:r>
        <w:r w:rsidR="00296434">
          <w:rPr>
            <w:noProof/>
            <w:webHidden/>
          </w:rPr>
          <w:fldChar w:fldCharType="end"/>
        </w:r>
      </w:hyperlink>
    </w:p>
    <w:p w14:paraId="73780828" w14:textId="6440AD43" w:rsidR="00296434" w:rsidRDefault="00FD6EDA">
      <w:pPr>
        <w:pStyle w:val="TableofFigures"/>
        <w:tabs>
          <w:tab w:val="right" w:leader="dot" w:pos="9911"/>
        </w:tabs>
        <w:rPr>
          <w:noProof/>
        </w:rPr>
      </w:pPr>
      <w:hyperlink w:anchor="_Toc491783076" w:history="1">
        <w:r w:rsidR="00296434" w:rsidRPr="006E71D2">
          <w:rPr>
            <w:rStyle w:val="Hyperlink"/>
            <w:rFonts w:ascii="Century Gothic" w:hAnsi="Century Gothic"/>
            <w:b/>
            <w:bCs/>
            <w:noProof/>
          </w:rPr>
          <w:t xml:space="preserve">Figure </w:t>
        </w:r>
        <w:r w:rsidR="00296434" w:rsidRPr="006E71D2">
          <w:rPr>
            <w:rStyle w:val="Hyperlink"/>
            <w:rFonts w:ascii="Century Gothic" w:hAnsi="Century Gothic"/>
            <w:b/>
            <w:bCs/>
            <w:noProof/>
            <w:cs/>
          </w:rPr>
          <w:t>‎</w:t>
        </w:r>
        <w:r w:rsidR="00296434" w:rsidRPr="006E71D2">
          <w:rPr>
            <w:rStyle w:val="Hyperlink"/>
            <w:rFonts w:ascii="Century Gothic" w:hAnsi="Century Gothic"/>
            <w:b/>
            <w:bCs/>
            <w:noProof/>
          </w:rPr>
          <w:t>3.3 Highest qualification of adult te reo Māori speakers aged 15+ years; Ngāi Tāmanuhiri and the Māori descent population; Census 2013</w:t>
        </w:r>
        <w:r w:rsidR="00296434">
          <w:rPr>
            <w:noProof/>
            <w:webHidden/>
          </w:rPr>
          <w:tab/>
        </w:r>
        <w:r w:rsidR="00296434">
          <w:rPr>
            <w:noProof/>
            <w:webHidden/>
          </w:rPr>
          <w:fldChar w:fldCharType="begin"/>
        </w:r>
        <w:r w:rsidR="00296434">
          <w:rPr>
            <w:noProof/>
            <w:webHidden/>
          </w:rPr>
          <w:instrText xml:space="preserve"> PAGEREF _Toc491783076 \h </w:instrText>
        </w:r>
        <w:r w:rsidR="00296434">
          <w:rPr>
            <w:noProof/>
            <w:webHidden/>
          </w:rPr>
        </w:r>
        <w:r w:rsidR="00296434">
          <w:rPr>
            <w:noProof/>
            <w:webHidden/>
          </w:rPr>
          <w:fldChar w:fldCharType="separate"/>
        </w:r>
        <w:r w:rsidR="00296434">
          <w:rPr>
            <w:noProof/>
            <w:webHidden/>
          </w:rPr>
          <w:t>28</w:t>
        </w:r>
        <w:r w:rsidR="00296434">
          <w:rPr>
            <w:noProof/>
            <w:webHidden/>
          </w:rPr>
          <w:fldChar w:fldCharType="end"/>
        </w:r>
      </w:hyperlink>
    </w:p>
    <w:p w14:paraId="5EDDEDB3" w14:textId="7059DF47" w:rsidR="00296434" w:rsidRDefault="00FD6EDA">
      <w:pPr>
        <w:pStyle w:val="TableofFigures"/>
        <w:tabs>
          <w:tab w:val="right" w:leader="dot" w:pos="9911"/>
        </w:tabs>
        <w:rPr>
          <w:noProof/>
        </w:rPr>
      </w:pPr>
      <w:hyperlink w:anchor="_Toc491783077" w:history="1">
        <w:r w:rsidR="00296434" w:rsidRPr="006E71D2">
          <w:rPr>
            <w:rStyle w:val="Hyperlink"/>
            <w:rFonts w:ascii="Century Gothic" w:hAnsi="Century Gothic"/>
            <w:b/>
            <w:bCs/>
            <w:noProof/>
          </w:rPr>
          <w:t xml:space="preserve">Figure </w:t>
        </w:r>
        <w:r w:rsidR="00296434" w:rsidRPr="006E71D2">
          <w:rPr>
            <w:rStyle w:val="Hyperlink"/>
            <w:rFonts w:ascii="Century Gothic" w:hAnsi="Century Gothic"/>
            <w:b/>
            <w:bCs/>
            <w:noProof/>
            <w:cs/>
          </w:rPr>
          <w:t>‎</w:t>
        </w:r>
        <w:r w:rsidR="00296434" w:rsidRPr="006E71D2">
          <w:rPr>
            <w:rStyle w:val="Hyperlink"/>
            <w:rFonts w:ascii="Century Gothic" w:hAnsi="Century Gothic"/>
            <w:b/>
            <w:bCs/>
            <w:noProof/>
          </w:rPr>
          <w:t>3.4 Highest qualification of adult te reo Māori speakers; Ngāi Tāmanuhiri resident in Gisborne and rest of New Zealand; Census 2013</w:t>
        </w:r>
        <w:r w:rsidR="00296434">
          <w:rPr>
            <w:noProof/>
            <w:webHidden/>
          </w:rPr>
          <w:tab/>
        </w:r>
        <w:r w:rsidR="00296434">
          <w:rPr>
            <w:noProof/>
            <w:webHidden/>
          </w:rPr>
          <w:fldChar w:fldCharType="begin"/>
        </w:r>
        <w:r w:rsidR="00296434">
          <w:rPr>
            <w:noProof/>
            <w:webHidden/>
          </w:rPr>
          <w:instrText xml:space="preserve"> PAGEREF _Toc491783077 \h </w:instrText>
        </w:r>
        <w:r w:rsidR="00296434">
          <w:rPr>
            <w:noProof/>
            <w:webHidden/>
          </w:rPr>
        </w:r>
        <w:r w:rsidR="00296434">
          <w:rPr>
            <w:noProof/>
            <w:webHidden/>
          </w:rPr>
          <w:fldChar w:fldCharType="separate"/>
        </w:r>
        <w:r w:rsidR="00296434">
          <w:rPr>
            <w:noProof/>
            <w:webHidden/>
          </w:rPr>
          <w:t>28</w:t>
        </w:r>
        <w:r w:rsidR="00296434">
          <w:rPr>
            <w:noProof/>
            <w:webHidden/>
          </w:rPr>
          <w:fldChar w:fldCharType="end"/>
        </w:r>
      </w:hyperlink>
    </w:p>
    <w:p w14:paraId="02F4DFF2" w14:textId="2554B86A" w:rsidR="00296434" w:rsidRDefault="00FD6EDA">
      <w:pPr>
        <w:pStyle w:val="TableofFigures"/>
        <w:tabs>
          <w:tab w:val="right" w:leader="dot" w:pos="9911"/>
        </w:tabs>
        <w:rPr>
          <w:noProof/>
        </w:rPr>
      </w:pPr>
      <w:hyperlink w:anchor="_Toc491783078" w:history="1">
        <w:r w:rsidR="00296434" w:rsidRPr="006E71D2">
          <w:rPr>
            <w:rStyle w:val="Hyperlink"/>
            <w:rFonts w:ascii="Century Gothic" w:hAnsi="Century Gothic"/>
            <w:b/>
            <w:bCs/>
            <w:noProof/>
          </w:rPr>
          <w:t xml:space="preserve">Figure </w:t>
        </w:r>
        <w:r w:rsidR="00296434" w:rsidRPr="006E71D2">
          <w:rPr>
            <w:rStyle w:val="Hyperlink"/>
            <w:rFonts w:ascii="Century Gothic" w:hAnsi="Century Gothic"/>
            <w:b/>
            <w:bCs/>
            <w:noProof/>
            <w:cs/>
          </w:rPr>
          <w:t>‎</w:t>
        </w:r>
        <w:r w:rsidR="00296434" w:rsidRPr="006E71D2">
          <w:rPr>
            <w:rStyle w:val="Hyperlink"/>
            <w:rFonts w:ascii="Century Gothic" w:hAnsi="Century Gothic"/>
            <w:b/>
            <w:bCs/>
            <w:noProof/>
          </w:rPr>
          <w:t>4.1 Labour force status of Ngāi Tāmanuhiri, Ngāi Tāmanuhiri resident in Gisborne, and the total Māori descent population; adults aged 15-64 years; 2006 and 2013 Censuses</w:t>
        </w:r>
        <w:r w:rsidR="00296434">
          <w:rPr>
            <w:noProof/>
            <w:webHidden/>
          </w:rPr>
          <w:tab/>
        </w:r>
        <w:r w:rsidR="00296434">
          <w:rPr>
            <w:noProof/>
            <w:webHidden/>
          </w:rPr>
          <w:fldChar w:fldCharType="begin"/>
        </w:r>
        <w:r w:rsidR="00296434">
          <w:rPr>
            <w:noProof/>
            <w:webHidden/>
          </w:rPr>
          <w:instrText xml:space="preserve"> PAGEREF _Toc491783078 \h </w:instrText>
        </w:r>
        <w:r w:rsidR="00296434">
          <w:rPr>
            <w:noProof/>
            <w:webHidden/>
          </w:rPr>
        </w:r>
        <w:r w:rsidR="00296434">
          <w:rPr>
            <w:noProof/>
            <w:webHidden/>
          </w:rPr>
          <w:fldChar w:fldCharType="separate"/>
        </w:r>
        <w:r w:rsidR="00296434">
          <w:rPr>
            <w:noProof/>
            <w:webHidden/>
          </w:rPr>
          <w:t>29</w:t>
        </w:r>
        <w:r w:rsidR="00296434">
          <w:rPr>
            <w:noProof/>
            <w:webHidden/>
          </w:rPr>
          <w:fldChar w:fldCharType="end"/>
        </w:r>
      </w:hyperlink>
    </w:p>
    <w:p w14:paraId="073FFA52" w14:textId="1B981879" w:rsidR="00296434" w:rsidRDefault="00FD6EDA">
      <w:pPr>
        <w:pStyle w:val="TableofFigures"/>
        <w:tabs>
          <w:tab w:val="right" w:leader="dot" w:pos="9911"/>
        </w:tabs>
        <w:rPr>
          <w:noProof/>
        </w:rPr>
      </w:pPr>
      <w:hyperlink w:anchor="_Toc491783079" w:history="1">
        <w:r w:rsidR="00296434" w:rsidRPr="006E71D2">
          <w:rPr>
            <w:rStyle w:val="Hyperlink"/>
            <w:rFonts w:ascii="Century Gothic" w:hAnsi="Century Gothic"/>
            <w:b/>
            <w:bCs/>
            <w:noProof/>
          </w:rPr>
          <w:t xml:space="preserve">Figure </w:t>
        </w:r>
        <w:r w:rsidR="00296434" w:rsidRPr="006E71D2">
          <w:rPr>
            <w:rStyle w:val="Hyperlink"/>
            <w:rFonts w:ascii="Century Gothic" w:hAnsi="Century Gothic"/>
            <w:b/>
            <w:bCs/>
            <w:noProof/>
            <w:cs/>
          </w:rPr>
          <w:t>‎</w:t>
        </w:r>
        <w:r w:rsidR="00296434" w:rsidRPr="006E71D2">
          <w:rPr>
            <w:rStyle w:val="Hyperlink"/>
            <w:rFonts w:ascii="Century Gothic" w:hAnsi="Century Gothic"/>
            <w:b/>
            <w:bCs/>
            <w:noProof/>
          </w:rPr>
          <w:t>4.2 Labour force status of te reo Māori speakers; Ngāi Tāmanuhiri iwi and the Māori descent population; adults aged 15+ years; 2013 Census</w:t>
        </w:r>
        <w:r w:rsidR="00296434">
          <w:rPr>
            <w:noProof/>
            <w:webHidden/>
          </w:rPr>
          <w:tab/>
        </w:r>
        <w:r w:rsidR="00296434">
          <w:rPr>
            <w:noProof/>
            <w:webHidden/>
          </w:rPr>
          <w:fldChar w:fldCharType="begin"/>
        </w:r>
        <w:r w:rsidR="00296434">
          <w:rPr>
            <w:noProof/>
            <w:webHidden/>
          </w:rPr>
          <w:instrText xml:space="preserve"> PAGEREF _Toc491783079 \h </w:instrText>
        </w:r>
        <w:r w:rsidR="00296434">
          <w:rPr>
            <w:noProof/>
            <w:webHidden/>
          </w:rPr>
        </w:r>
        <w:r w:rsidR="00296434">
          <w:rPr>
            <w:noProof/>
            <w:webHidden/>
          </w:rPr>
          <w:fldChar w:fldCharType="separate"/>
        </w:r>
        <w:r w:rsidR="00296434">
          <w:rPr>
            <w:noProof/>
            <w:webHidden/>
          </w:rPr>
          <w:t>30</w:t>
        </w:r>
        <w:r w:rsidR="00296434">
          <w:rPr>
            <w:noProof/>
            <w:webHidden/>
          </w:rPr>
          <w:fldChar w:fldCharType="end"/>
        </w:r>
      </w:hyperlink>
    </w:p>
    <w:p w14:paraId="3C72C022" w14:textId="52BC74CA" w:rsidR="00296434" w:rsidRDefault="00FD6EDA">
      <w:pPr>
        <w:pStyle w:val="TableofFigures"/>
        <w:tabs>
          <w:tab w:val="right" w:leader="dot" w:pos="9911"/>
        </w:tabs>
        <w:rPr>
          <w:noProof/>
        </w:rPr>
      </w:pPr>
      <w:hyperlink w:anchor="_Toc491783080" w:history="1">
        <w:r w:rsidR="00296434" w:rsidRPr="006E71D2">
          <w:rPr>
            <w:rStyle w:val="Hyperlink"/>
            <w:rFonts w:ascii="Century Gothic" w:hAnsi="Century Gothic"/>
            <w:b/>
            <w:bCs/>
            <w:noProof/>
          </w:rPr>
          <w:t xml:space="preserve">Figure </w:t>
        </w:r>
        <w:r w:rsidR="00296434" w:rsidRPr="006E71D2">
          <w:rPr>
            <w:rStyle w:val="Hyperlink"/>
            <w:rFonts w:ascii="Century Gothic" w:hAnsi="Century Gothic"/>
            <w:b/>
            <w:bCs/>
            <w:noProof/>
            <w:cs/>
          </w:rPr>
          <w:t>‎</w:t>
        </w:r>
        <w:r w:rsidR="00296434" w:rsidRPr="006E71D2">
          <w:rPr>
            <w:rStyle w:val="Hyperlink"/>
            <w:rFonts w:ascii="Century Gothic" w:hAnsi="Century Gothic"/>
            <w:b/>
            <w:bCs/>
            <w:noProof/>
          </w:rPr>
          <w:t>4.3 Employment rate of Ngāi Tāmanuhiri, Ngāi Tāmanuhiri resident in Gisborne, and the total Māori descent population; adults aged 15+ years; 2006 census</w:t>
        </w:r>
        <w:r w:rsidR="00296434">
          <w:rPr>
            <w:noProof/>
            <w:webHidden/>
          </w:rPr>
          <w:tab/>
        </w:r>
        <w:r w:rsidR="00296434">
          <w:rPr>
            <w:noProof/>
            <w:webHidden/>
          </w:rPr>
          <w:fldChar w:fldCharType="begin"/>
        </w:r>
        <w:r w:rsidR="00296434">
          <w:rPr>
            <w:noProof/>
            <w:webHidden/>
          </w:rPr>
          <w:instrText xml:space="preserve"> PAGEREF _Toc491783080 \h </w:instrText>
        </w:r>
        <w:r w:rsidR="00296434">
          <w:rPr>
            <w:noProof/>
            <w:webHidden/>
          </w:rPr>
        </w:r>
        <w:r w:rsidR="00296434">
          <w:rPr>
            <w:noProof/>
            <w:webHidden/>
          </w:rPr>
          <w:fldChar w:fldCharType="separate"/>
        </w:r>
        <w:r w:rsidR="00296434">
          <w:rPr>
            <w:noProof/>
            <w:webHidden/>
          </w:rPr>
          <w:t>31</w:t>
        </w:r>
        <w:r w:rsidR="00296434">
          <w:rPr>
            <w:noProof/>
            <w:webHidden/>
          </w:rPr>
          <w:fldChar w:fldCharType="end"/>
        </w:r>
      </w:hyperlink>
    </w:p>
    <w:p w14:paraId="1941A67F" w14:textId="7193505E" w:rsidR="00296434" w:rsidRDefault="00FD6EDA">
      <w:pPr>
        <w:pStyle w:val="TableofFigures"/>
        <w:tabs>
          <w:tab w:val="right" w:leader="dot" w:pos="9911"/>
        </w:tabs>
        <w:rPr>
          <w:noProof/>
        </w:rPr>
      </w:pPr>
      <w:hyperlink w:anchor="_Toc491783081" w:history="1">
        <w:r w:rsidR="00296434" w:rsidRPr="006E71D2">
          <w:rPr>
            <w:rStyle w:val="Hyperlink"/>
            <w:rFonts w:ascii="Century Gothic" w:hAnsi="Century Gothic"/>
            <w:b/>
            <w:bCs/>
            <w:noProof/>
          </w:rPr>
          <w:t xml:space="preserve">Figure </w:t>
        </w:r>
        <w:r w:rsidR="00296434" w:rsidRPr="006E71D2">
          <w:rPr>
            <w:rStyle w:val="Hyperlink"/>
            <w:rFonts w:ascii="Century Gothic" w:hAnsi="Century Gothic"/>
            <w:b/>
            <w:bCs/>
            <w:noProof/>
            <w:cs/>
          </w:rPr>
          <w:t>‎</w:t>
        </w:r>
        <w:r w:rsidR="00296434" w:rsidRPr="006E71D2">
          <w:rPr>
            <w:rStyle w:val="Hyperlink"/>
            <w:rFonts w:ascii="Century Gothic" w:hAnsi="Century Gothic"/>
            <w:b/>
            <w:bCs/>
            <w:noProof/>
          </w:rPr>
          <w:t>4.4 Employment rate of Ngāi Tāmanuhiri, Ngāi Tāmanuhiri resident in Gisborne, and the total Māori descent population; adults aged 15+ years; 2013 census</w:t>
        </w:r>
        <w:r w:rsidR="00296434">
          <w:rPr>
            <w:noProof/>
            <w:webHidden/>
          </w:rPr>
          <w:tab/>
        </w:r>
        <w:r w:rsidR="00296434">
          <w:rPr>
            <w:noProof/>
            <w:webHidden/>
          </w:rPr>
          <w:fldChar w:fldCharType="begin"/>
        </w:r>
        <w:r w:rsidR="00296434">
          <w:rPr>
            <w:noProof/>
            <w:webHidden/>
          </w:rPr>
          <w:instrText xml:space="preserve"> PAGEREF _Toc491783081 \h </w:instrText>
        </w:r>
        <w:r w:rsidR="00296434">
          <w:rPr>
            <w:noProof/>
            <w:webHidden/>
          </w:rPr>
        </w:r>
        <w:r w:rsidR="00296434">
          <w:rPr>
            <w:noProof/>
            <w:webHidden/>
          </w:rPr>
          <w:fldChar w:fldCharType="separate"/>
        </w:r>
        <w:r w:rsidR="00296434">
          <w:rPr>
            <w:noProof/>
            <w:webHidden/>
          </w:rPr>
          <w:t>31</w:t>
        </w:r>
        <w:r w:rsidR="00296434">
          <w:rPr>
            <w:noProof/>
            <w:webHidden/>
          </w:rPr>
          <w:fldChar w:fldCharType="end"/>
        </w:r>
      </w:hyperlink>
    </w:p>
    <w:p w14:paraId="069D0BA4" w14:textId="24421054" w:rsidR="00296434" w:rsidRDefault="00FD6EDA">
      <w:pPr>
        <w:pStyle w:val="TableofFigures"/>
        <w:tabs>
          <w:tab w:val="right" w:leader="dot" w:pos="9911"/>
        </w:tabs>
        <w:rPr>
          <w:noProof/>
        </w:rPr>
      </w:pPr>
      <w:hyperlink w:anchor="_Toc491783082" w:history="1">
        <w:r w:rsidR="00296434" w:rsidRPr="006E71D2">
          <w:rPr>
            <w:rStyle w:val="Hyperlink"/>
            <w:rFonts w:ascii="Century Gothic" w:hAnsi="Century Gothic"/>
            <w:b/>
            <w:bCs/>
            <w:noProof/>
          </w:rPr>
          <w:t xml:space="preserve">Figure </w:t>
        </w:r>
        <w:r w:rsidR="00296434" w:rsidRPr="006E71D2">
          <w:rPr>
            <w:rStyle w:val="Hyperlink"/>
            <w:rFonts w:ascii="Century Gothic" w:hAnsi="Century Gothic"/>
            <w:b/>
            <w:bCs/>
            <w:noProof/>
            <w:cs/>
          </w:rPr>
          <w:t>‎</w:t>
        </w:r>
        <w:r w:rsidR="00296434" w:rsidRPr="006E71D2">
          <w:rPr>
            <w:rStyle w:val="Hyperlink"/>
            <w:rFonts w:ascii="Century Gothic" w:hAnsi="Century Gothic"/>
            <w:b/>
            <w:bCs/>
            <w:noProof/>
          </w:rPr>
          <w:t>4.5 Employment rate of te reo Māori speakers; Ngāi Tāmanuhiri iwi and the Māori descent population; 2013 Census</w:t>
        </w:r>
        <w:r w:rsidR="00296434">
          <w:rPr>
            <w:noProof/>
            <w:webHidden/>
          </w:rPr>
          <w:tab/>
        </w:r>
        <w:r w:rsidR="00296434">
          <w:rPr>
            <w:noProof/>
            <w:webHidden/>
          </w:rPr>
          <w:fldChar w:fldCharType="begin"/>
        </w:r>
        <w:r w:rsidR="00296434">
          <w:rPr>
            <w:noProof/>
            <w:webHidden/>
          </w:rPr>
          <w:instrText xml:space="preserve"> PAGEREF _Toc491783082 \h </w:instrText>
        </w:r>
        <w:r w:rsidR="00296434">
          <w:rPr>
            <w:noProof/>
            <w:webHidden/>
          </w:rPr>
        </w:r>
        <w:r w:rsidR="00296434">
          <w:rPr>
            <w:noProof/>
            <w:webHidden/>
          </w:rPr>
          <w:fldChar w:fldCharType="separate"/>
        </w:r>
        <w:r w:rsidR="00296434">
          <w:rPr>
            <w:noProof/>
            <w:webHidden/>
          </w:rPr>
          <w:t>32</w:t>
        </w:r>
        <w:r w:rsidR="00296434">
          <w:rPr>
            <w:noProof/>
            <w:webHidden/>
          </w:rPr>
          <w:fldChar w:fldCharType="end"/>
        </w:r>
      </w:hyperlink>
    </w:p>
    <w:p w14:paraId="51D43A37" w14:textId="50251B06" w:rsidR="00296434" w:rsidRDefault="00FD6EDA">
      <w:pPr>
        <w:pStyle w:val="TableofFigures"/>
        <w:tabs>
          <w:tab w:val="right" w:leader="dot" w:pos="9911"/>
        </w:tabs>
        <w:rPr>
          <w:noProof/>
        </w:rPr>
      </w:pPr>
      <w:hyperlink w:anchor="_Toc491783083" w:history="1">
        <w:r w:rsidR="00296434" w:rsidRPr="006E71D2">
          <w:rPr>
            <w:rStyle w:val="Hyperlink"/>
            <w:rFonts w:ascii="Century Gothic" w:hAnsi="Century Gothic"/>
            <w:b/>
            <w:bCs/>
            <w:noProof/>
          </w:rPr>
          <w:t xml:space="preserve">Figure </w:t>
        </w:r>
        <w:r w:rsidR="00296434" w:rsidRPr="006E71D2">
          <w:rPr>
            <w:rStyle w:val="Hyperlink"/>
            <w:rFonts w:ascii="Century Gothic" w:hAnsi="Century Gothic"/>
            <w:b/>
            <w:bCs/>
            <w:noProof/>
            <w:cs/>
          </w:rPr>
          <w:t>‎</w:t>
        </w:r>
        <w:r w:rsidR="00296434" w:rsidRPr="006E71D2">
          <w:rPr>
            <w:rStyle w:val="Hyperlink"/>
            <w:rFonts w:ascii="Century Gothic" w:hAnsi="Century Gothic"/>
            <w:b/>
            <w:bCs/>
            <w:noProof/>
          </w:rPr>
          <w:t>4.6 Employment status of Ngāi Tāmanuhiri and the Māori descent population; adults aged 15+ years; Census 2013</w:t>
        </w:r>
        <w:r w:rsidR="00296434">
          <w:rPr>
            <w:noProof/>
            <w:webHidden/>
          </w:rPr>
          <w:tab/>
        </w:r>
        <w:r w:rsidR="00296434">
          <w:rPr>
            <w:noProof/>
            <w:webHidden/>
          </w:rPr>
          <w:fldChar w:fldCharType="begin"/>
        </w:r>
        <w:r w:rsidR="00296434">
          <w:rPr>
            <w:noProof/>
            <w:webHidden/>
          </w:rPr>
          <w:instrText xml:space="preserve"> PAGEREF _Toc491783083 \h </w:instrText>
        </w:r>
        <w:r w:rsidR="00296434">
          <w:rPr>
            <w:noProof/>
            <w:webHidden/>
          </w:rPr>
        </w:r>
        <w:r w:rsidR="00296434">
          <w:rPr>
            <w:noProof/>
            <w:webHidden/>
          </w:rPr>
          <w:fldChar w:fldCharType="separate"/>
        </w:r>
        <w:r w:rsidR="00296434">
          <w:rPr>
            <w:noProof/>
            <w:webHidden/>
          </w:rPr>
          <w:t>32</w:t>
        </w:r>
        <w:r w:rsidR="00296434">
          <w:rPr>
            <w:noProof/>
            <w:webHidden/>
          </w:rPr>
          <w:fldChar w:fldCharType="end"/>
        </w:r>
      </w:hyperlink>
    </w:p>
    <w:p w14:paraId="55CA2D31" w14:textId="48695E57" w:rsidR="00296434" w:rsidRDefault="00FD6EDA">
      <w:pPr>
        <w:pStyle w:val="TableofFigures"/>
        <w:tabs>
          <w:tab w:val="right" w:leader="dot" w:pos="9911"/>
        </w:tabs>
        <w:rPr>
          <w:noProof/>
        </w:rPr>
      </w:pPr>
      <w:hyperlink w:anchor="_Toc491783084" w:history="1">
        <w:r w:rsidR="00296434" w:rsidRPr="006E71D2">
          <w:rPr>
            <w:rStyle w:val="Hyperlink"/>
            <w:rFonts w:ascii="Century Gothic" w:hAnsi="Century Gothic"/>
            <w:b/>
            <w:bCs/>
            <w:noProof/>
          </w:rPr>
          <w:t xml:space="preserve">Figure </w:t>
        </w:r>
        <w:r w:rsidR="00296434" w:rsidRPr="006E71D2">
          <w:rPr>
            <w:rStyle w:val="Hyperlink"/>
            <w:rFonts w:ascii="Century Gothic" w:hAnsi="Century Gothic"/>
            <w:b/>
            <w:bCs/>
            <w:noProof/>
            <w:cs/>
          </w:rPr>
          <w:t>‎</w:t>
        </w:r>
        <w:r w:rsidR="00296434" w:rsidRPr="006E71D2">
          <w:rPr>
            <w:rStyle w:val="Hyperlink"/>
            <w:rFonts w:ascii="Century Gothic" w:hAnsi="Century Gothic"/>
            <w:b/>
            <w:bCs/>
            <w:noProof/>
          </w:rPr>
          <w:t>4.7 Employment status of te reo Māori speakers; Ngāi Tāmanuhiri iwi and the Māori descent population; adults aged 15+ years ; Census 2013</w:t>
        </w:r>
        <w:r w:rsidR="00296434">
          <w:rPr>
            <w:noProof/>
            <w:webHidden/>
          </w:rPr>
          <w:tab/>
        </w:r>
        <w:r w:rsidR="00296434">
          <w:rPr>
            <w:noProof/>
            <w:webHidden/>
          </w:rPr>
          <w:fldChar w:fldCharType="begin"/>
        </w:r>
        <w:r w:rsidR="00296434">
          <w:rPr>
            <w:noProof/>
            <w:webHidden/>
          </w:rPr>
          <w:instrText xml:space="preserve"> PAGEREF _Toc491783084 \h </w:instrText>
        </w:r>
        <w:r w:rsidR="00296434">
          <w:rPr>
            <w:noProof/>
            <w:webHidden/>
          </w:rPr>
        </w:r>
        <w:r w:rsidR="00296434">
          <w:rPr>
            <w:noProof/>
            <w:webHidden/>
          </w:rPr>
          <w:fldChar w:fldCharType="separate"/>
        </w:r>
        <w:r w:rsidR="00296434">
          <w:rPr>
            <w:noProof/>
            <w:webHidden/>
          </w:rPr>
          <w:t>33</w:t>
        </w:r>
        <w:r w:rsidR="00296434">
          <w:rPr>
            <w:noProof/>
            <w:webHidden/>
          </w:rPr>
          <w:fldChar w:fldCharType="end"/>
        </w:r>
      </w:hyperlink>
    </w:p>
    <w:p w14:paraId="48348924" w14:textId="7D948DC3" w:rsidR="00296434" w:rsidRDefault="00FD6EDA">
      <w:pPr>
        <w:pStyle w:val="TableofFigures"/>
        <w:tabs>
          <w:tab w:val="right" w:leader="dot" w:pos="9911"/>
        </w:tabs>
        <w:rPr>
          <w:noProof/>
        </w:rPr>
      </w:pPr>
      <w:hyperlink w:anchor="_Toc491783085" w:history="1">
        <w:r w:rsidR="00296434" w:rsidRPr="006E71D2">
          <w:rPr>
            <w:rStyle w:val="Hyperlink"/>
            <w:rFonts w:ascii="Century Gothic" w:hAnsi="Century Gothic"/>
            <w:b/>
            <w:bCs/>
            <w:noProof/>
          </w:rPr>
          <w:t xml:space="preserve">Figure </w:t>
        </w:r>
        <w:r w:rsidR="00296434" w:rsidRPr="006E71D2">
          <w:rPr>
            <w:rStyle w:val="Hyperlink"/>
            <w:rFonts w:ascii="Century Gothic" w:hAnsi="Century Gothic"/>
            <w:b/>
            <w:bCs/>
            <w:noProof/>
            <w:cs/>
          </w:rPr>
          <w:t>‎</w:t>
        </w:r>
        <w:r w:rsidR="00296434" w:rsidRPr="006E71D2">
          <w:rPr>
            <w:rStyle w:val="Hyperlink"/>
            <w:rFonts w:ascii="Century Gothic" w:hAnsi="Century Gothic"/>
            <w:b/>
            <w:bCs/>
            <w:noProof/>
          </w:rPr>
          <w:t>5.1 Broad occupational grouping of Ngāi Tāmanuhiri and the Māori descent population; adults aged 15+ years; 2006 and 2013 Censuses</w:t>
        </w:r>
        <w:r w:rsidR="00296434">
          <w:rPr>
            <w:noProof/>
            <w:webHidden/>
          </w:rPr>
          <w:tab/>
        </w:r>
        <w:r w:rsidR="00296434">
          <w:rPr>
            <w:noProof/>
            <w:webHidden/>
          </w:rPr>
          <w:fldChar w:fldCharType="begin"/>
        </w:r>
        <w:r w:rsidR="00296434">
          <w:rPr>
            <w:noProof/>
            <w:webHidden/>
          </w:rPr>
          <w:instrText xml:space="preserve"> PAGEREF _Toc491783085 \h </w:instrText>
        </w:r>
        <w:r w:rsidR="00296434">
          <w:rPr>
            <w:noProof/>
            <w:webHidden/>
          </w:rPr>
        </w:r>
        <w:r w:rsidR="00296434">
          <w:rPr>
            <w:noProof/>
            <w:webHidden/>
          </w:rPr>
          <w:fldChar w:fldCharType="separate"/>
        </w:r>
        <w:r w:rsidR="00296434">
          <w:rPr>
            <w:noProof/>
            <w:webHidden/>
          </w:rPr>
          <w:t>35</w:t>
        </w:r>
        <w:r w:rsidR="00296434">
          <w:rPr>
            <w:noProof/>
            <w:webHidden/>
          </w:rPr>
          <w:fldChar w:fldCharType="end"/>
        </w:r>
      </w:hyperlink>
    </w:p>
    <w:p w14:paraId="227E09D7" w14:textId="585D59AE" w:rsidR="00296434" w:rsidRDefault="00FD6EDA">
      <w:pPr>
        <w:pStyle w:val="TableofFigures"/>
        <w:tabs>
          <w:tab w:val="right" w:leader="dot" w:pos="9911"/>
        </w:tabs>
        <w:rPr>
          <w:noProof/>
        </w:rPr>
      </w:pPr>
      <w:hyperlink w:anchor="_Toc491783086" w:history="1">
        <w:r w:rsidR="00296434" w:rsidRPr="006E71D2">
          <w:rPr>
            <w:rStyle w:val="Hyperlink"/>
            <w:rFonts w:ascii="Century Gothic" w:hAnsi="Century Gothic"/>
            <w:b/>
            <w:bCs/>
            <w:noProof/>
          </w:rPr>
          <w:t xml:space="preserve">Figure </w:t>
        </w:r>
        <w:r w:rsidR="00296434" w:rsidRPr="006E71D2">
          <w:rPr>
            <w:rStyle w:val="Hyperlink"/>
            <w:rFonts w:ascii="Century Gothic" w:hAnsi="Century Gothic"/>
            <w:b/>
            <w:bCs/>
            <w:noProof/>
            <w:cs/>
          </w:rPr>
          <w:t>‎</w:t>
        </w:r>
        <w:r w:rsidR="00296434" w:rsidRPr="006E71D2">
          <w:rPr>
            <w:rStyle w:val="Hyperlink"/>
            <w:rFonts w:ascii="Century Gothic" w:hAnsi="Century Gothic"/>
            <w:b/>
            <w:bCs/>
            <w:noProof/>
          </w:rPr>
          <w:t>5.2 Broad occupational grouping of Ngāi Tāmanuhiri and the Māori descent population disaggregated by sex; Broad occupational grouping; 2013 Census</w:t>
        </w:r>
        <w:r w:rsidR="00296434">
          <w:rPr>
            <w:noProof/>
            <w:webHidden/>
          </w:rPr>
          <w:tab/>
        </w:r>
        <w:r w:rsidR="00296434">
          <w:rPr>
            <w:noProof/>
            <w:webHidden/>
          </w:rPr>
          <w:fldChar w:fldCharType="begin"/>
        </w:r>
        <w:r w:rsidR="00296434">
          <w:rPr>
            <w:noProof/>
            <w:webHidden/>
          </w:rPr>
          <w:instrText xml:space="preserve"> PAGEREF _Toc491783086 \h </w:instrText>
        </w:r>
        <w:r w:rsidR="00296434">
          <w:rPr>
            <w:noProof/>
            <w:webHidden/>
          </w:rPr>
        </w:r>
        <w:r w:rsidR="00296434">
          <w:rPr>
            <w:noProof/>
            <w:webHidden/>
          </w:rPr>
          <w:fldChar w:fldCharType="separate"/>
        </w:r>
        <w:r w:rsidR="00296434">
          <w:rPr>
            <w:noProof/>
            <w:webHidden/>
          </w:rPr>
          <w:t>35</w:t>
        </w:r>
        <w:r w:rsidR="00296434">
          <w:rPr>
            <w:noProof/>
            <w:webHidden/>
          </w:rPr>
          <w:fldChar w:fldCharType="end"/>
        </w:r>
      </w:hyperlink>
    </w:p>
    <w:p w14:paraId="584C35D3" w14:textId="41FBD56B" w:rsidR="00296434" w:rsidRDefault="00FD6EDA">
      <w:pPr>
        <w:pStyle w:val="TableofFigures"/>
        <w:tabs>
          <w:tab w:val="right" w:leader="dot" w:pos="9911"/>
        </w:tabs>
        <w:rPr>
          <w:noProof/>
        </w:rPr>
      </w:pPr>
      <w:hyperlink w:anchor="_Toc491783087" w:history="1">
        <w:r w:rsidR="00296434" w:rsidRPr="006E71D2">
          <w:rPr>
            <w:rStyle w:val="Hyperlink"/>
            <w:rFonts w:ascii="Century Gothic" w:hAnsi="Century Gothic"/>
            <w:b/>
            <w:bCs/>
            <w:noProof/>
          </w:rPr>
          <w:t xml:space="preserve">Figure </w:t>
        </w:r>
        <w:r w:rsidR="00296434" w:rsidRPr="006E71D2">
          <w:rPr>
            <w:rStyle w:val="Hyperlink"/>
            <w:rFonts w:ascii="Century Gothic" w:hAnsi="Century Gothic"/>
            <w:b/>
            <w:bCs/>
            <w:noProof/>
            <w:cs/>
          </w:rPr>
          <w:t>‎</w:t>
        </w:r>
        <w:r w:rsidR="00296434" w:rsidRPr="006E71D2">
          <w:rPr>
            <w:rStyle w:val="Hyperlink"/>
            <w:rFonts w:ascii="Century Gothic" w:hAnsi="Century Gothic"/>
            <w:b/>
            <w:bCs/>
            <w:noProof/>
          </w:rPr>
          <w:t>5.3 Broad occupational grouping of Ngāi Tāmanuhiri resident in Gisborne and rest of New Zealand; adults aged 15+ years; 2013 Census</w:t>
        </w:r>
        <w:r w:rsidR="00296434">
          <w:rPr>
            <w:noProof/>
            <w:webHidden/>
          </w:rPr>
          <w:tab/>
        </w:r>
        <w:r w:rsidR="00296434">
          <w:rPr>
            <w:noProof/>
            <w:webHidden/>
          </w:rPr>
          <w:fldChar w:fldCharType="begin"/>
        </w:r>
        <w:r w:rsidR="00296434">
          <w:rPr>
            <w:noProof/>
            <w:webHidden/>
          </w:rPr>
          <w:instrText xml:space="preserve"> PAGEREF _Toc491783087 \h </w:instrText>
        </w:r>
        <w:r w:rsidR="00296434">
          <w:rPr>
            <w:noProof/>
            <w:webHidden/>
          </w:rPr>
        </w:r>
        <w:r w:rsidR="00296434">
          <w:rPr>
            <w:noProof/>
            <w:webHidden/>
          </w:rPr>
          <w:fldChar w:fldCharType="separate"/>
        </w:r>
        <w:r w:rsidR="00296434">
          <w:rPr>
            <w:noProof/>
            <w:webHidden/>
          </w:rPr>
          <w:t>36</w:t>
        </w:r>
        <w:r w:rsidR="00296434">
          <w:rPr>
            <w:noProof/>
            <w:webHidden/>
          </w:rPr>
          <w:fldChar w:fldCharType="end"/>
        </w:r>
      </w:hyperlink>
    </w:p>
    <w:p w14:paraId="7EB9CCBF" w14:textId="30F60C5E" w:rsidR="00296434" w:rsidRDefault="00FD6EDA">
      <w:pPr>
        <w:pStyle w:val="TableofFigures"/>
        <w:tabs>
          <w:tab w:val="right" w:leader="dot" w:pos="9911"/>
        </w:tabs>
        <w:rPr>
          <w:noProof/>
        </w:rPr>
      </w:pPr>
      <w:hyperlink w:anchor="_Toc491783088" w:history="1">
        <w:r w:rsidR="00296434" w:rsidRPr="006E71D2">
          <w:rPr>
            <w:rStyle w:val="Hyperlink"/>
            <w:rFonts w:ascii="Century Gothic" w:hAnsi="Century Gothic"/>
            <w:b/>
            <w:bCs/>
            <w:noProof/>
          </w:rPr>
          <w:t xml:space="preserve">Figure </w:t>
        </w:r>
        <w:r w:rsidR="00296434" w:rsidRPr="006E71D2">
          <w:rPr>
            <w:rStyle w:val="Hyperlink"/>
            <w:rFonts w:ascii="Century Gothic" w:hAnsi="Century Gothic"/>
            <w:b/>
            <w:bCs/>
            <w:noProof/>
            <w:cs/>
          </w:rPr>
          <w:t>‎</w:t>
        </w:r>
        <w:r w:rsidR="00296434" w:rsidRPr="006E71D2">
          <w:rPr>
            <w:rStyle w:val="Hyperlink"/>
            <w:rFonts w:ascii="Century Gothic" w:hAnsi="Century Gothic"/>
            <w:b/>
            <w:bCs/>
            <w:noProof/>
          </w:rPr>
          <w:t>5.4  Broad occupational grouping of te reo Māori speakers; Ngāi Tāmanuhiri and the Māori descent population; adults aged 15+; 2013 Census</w:t>
        </w:r>
        <w:r w:rsidR="00296434">
          <w:rPr>
            <w:noProof/>
            <w:webHidden/>
          </w:rPr>
          <w:tab/>
        </w:r>
        <w:r w:rsidR="00296434">
          <w:rPr>
            <w:noProof/>
            <w:webHidden/>
          </w:rPr>
          <w:fldChar w:fldCharType="begin"/>
        </w:r>
        <w:r w:rsidR="00296434">
          <w:rPr>
            <w:noProof/>
            <w:webHidden/>
          </w:rPr>
          <w:instrText xml:space="preserve"> PAGEREF _Toc491783088 \h </w:instrText>
        </w:r>
        <w:r w:rsidR="00296434">
          <w:rPr>
            <w:noProof/>
            <w:webHidden/>
          </w:rPr>
        </w:r>
        <w:r w:rsidR="00296434">
          <w:rPr>
            <w:noProof/>
            <w:webHidden/>
          </w:rPr>
          <w:fldChar w:fldCharType="separate"/>
        </w:r>
        <w:r w:rsidR="00296434">
          <w:rPr>
            <w:noProof/>
            <w:webHidden/>
          </w:rPr>
          <w:t>36</w:t>
        </w:r>
        <w:r w:rsidR="00296434">
          <w:rPr>
            <w:noProof/>
            <w:webHidden/>
          </w:rPr>
          <w:fldChar w:fldCharType="end"/>
        </w:r>
      </w:hyperlink>
    </w:p>
    <w:p w14:paraId="38F0A736" w14:textId="590AE2D1" w:rsidR="00296434" w:rsidRDefault="00FD6EDA">
      <w:pPr>
        <w:pStyle w:val="TableofFigures"/>
        <w:tabs>
          <w:tab w:val="right" w:leader="dot" w:pos="9911"/>
        </w:tabs>
        <w:rPr>
          <w:noProof/>
        </w:rPr>
      </w:pPr>
      <w:hyperlink w:anchor="_Toc491783089" w:history="1">
        <w:r w:rsidR="00296434" w:rsidRPr="006E71D2">
          <w:rPr>
            <w:rStyle w:val="Hyperlink"/>
            <w:rFonts w:ascii="Century Gothic" w:hAnsi="Century Gothic"/>
            <w:b/>
            <w:bCs/>
            <w:noProof/>
          </w:rPr>
          <w:t xml:space="preserve">Figure </w:t>
        </w:r>
        <w:r w:rsidR="00296434" w:rsidRPr="006E71D2">
          <w:rPr>
            <w:rStyle w:val="Hyperlink"/>
            <w:rFonts w:ascii="Century Gothic" w:hAnsi="Century Gothic"/>
            <w:b/>
            <w:bCs/>
            <w:noProof/>
            <w:cs/>
          </w:rPr>
          <w:t>‎</w:t>
        </w:r>
        <w:r w:rsidR="00296434" w:rsidRPr="006E71D2">
          <w:rPr>
            <w:rStyle w:val="Hyperlink"/>
            <w:rFonts w:ascii="Century Gothic" w:hAnsi="Century Gothic"/>
            <w:b/>
            <w:bCs/>
            <w:noProof/>
          </w:rPr>
          <w:t>6.1   Households with at least one te reo Māori speaker; Ngāi Tāmanuhiri and the Māori descent population; 2013 Census</w:t>
        </w:r>
        <w:r w:rsidR="00296434">
          <w:rPr>
            <w:noProof/>
            <w:webHidden/>
          </w:rPr>
          <w:tab/>
        </w:r>
        <w:r w:rsidR="00296434">
          <w:rPr>
            <w:noProof/>
            <w:webHidden/>
          </w:rPr>
          <w:fldChar w:fldCharType="begin"/>
        </w:r>
        <w:r w:rsidR="00296434">
          <w:rPr>
            <w:noProof/>
            <w:webHidden/>
          </w:rPr>
          <w:instrText xml:space="preserve"> PAGEREF _Toc491783089 \h </w:instrText>
        </w:r>
        <w:r w:rsidR="00296434">
          <w:rPr>
            <w:noProof/>
            <w:webHidden/>
          </w:rPr>
        </w:r>
        <w:r w:rsidR="00296434">
          <w:rPr>
            <w:noProof/>
            <w:webHidden/>
          </w:rPr>
          <w:fldChar w:fldCharType="separate"/>
        </w:r>
        <w:r w:rsidR="00296434">
          <w:rPr>
            <w:noProof/>
            <w:webHidden/>
          </w:rPr>
          <w:t>39</w:t>
        </w:r>
        <w:r w:rsidR="00296434">
          <w:rPr>
            <w:noProof/>
            <w:webHidden/>
          </w:rPr>
          <w:fldChar w:fldCharType="end"/>
        </w:r>
      </w:hyperlink>
    </w:p>
    <w:p w14:paraId="2E1094D6" w14:textId="0C031E63" w:rsidR="000A4AC5" w:rsidRPr="00F53411" w:rsidRDefault="00F37781" w:rsidP="00F53411">
      <w:pPr>
        <w:pStyle w:val="TableofFigures"/>
        <w:tabs>
          <w:tab w:val="right" w:leader="dot" w:pos="9911"/>
        </w:tabs>
        <w:spacing w:line="360" w:lineRule="auto"/>
        <w:rPr>
          <w:rStyle w:val="Hyperlink"/>
          <w:rFonts w:ascii="Century Gothic" w:hAnsi="Century Gothic"/>
          <w:b/>
          <w:bCs/>
          <w:noProof/>
          <w:sz w:val="20"/>
          <w:szCs w:val="20"/>
        </w:rPr>
      </w:pPr>
      <w:r w:rsidRPr="00F53411">
        <w:rPr>
          <w:rStyle w:val="Hyperlink"/>
          <w:rFonts w:ascii="Century Gothic" w:hAnsi="Century Gothic"/>
          <w:b/>
          <w:bCs/>
          <w:noProof/>
          <w:sz w:val="20"/>
          <w:szCs w:val="20"/>
        </w:rPr>
        <w:fldChar w:fldCharType="end"/>
      </w:r>
    </w:p>
    <w:p w14:paraId="785FA727" w14:textId="77777777" w:rsidR="00527449" w:rsidRPr="00527449" w:rsidRDefault="00527449" w:rsidP="00527449"/>
    <w:p w14:paraId="089C8001" w14:textId="77777777" w:rsidR="001C79A4" w:rsidRPr="00350453" w:rsidRDefault="001C79A4" w:rsidP="00B4024C">
      <w:pPr>
        <w:pStyle w:val="TableofFigures"/>
        <w:tabs>
          <w:tab w:val="right" w:leader="dot" w:pos="9911"/>
        </w:tabs>
        <w:spacing w:line="360" w:lineRule="auto"/>
        <w:rPr>
          <w:rFonts w:ascii="Century Gothic" w:hAnsi="Century Gothic"/>
          <w:b/>
          <w:bCs/>
          <w:color w:val="44546A"/>
          <w:sz w:val="24"/>
          <w:szCs w:val="24"/>
        </w:rPr>
      </w:pPr>
      <w:r w:rsidRPr="00350453">
        <w:rPr>
          <w:rFonts w:ascii="Century Gothic" w:hAnsi="Century Gothic"/>
          <w:b/>
          <w:bCs/>
          <w:color w:val="44546A"/>
          <w:sz w:val="24"/>
          <w:szCs w:val="24"/>
        </w:rPr>
        <w:t>List of Appendix Tables</w:t>
      </w:r>
    </w:p>
    <w:p w14:paraId="72606517" w14:textId="7BB4D3EE" w:rsidR="0065189F" w:rsidRDefault="00B4024C">
      <w:pPr>
        <w:pStyle w:val="TableofFigures"/>
        <w:tabs>
          <w:tab w:val="right" w:leader="dot" w:pos="9911"/>
        </w:tabs>
        <w:rPr>
          <w:noProof/>
        </w:rPr>
      </w:pPr>
      <w:r w:rsidRPr="0058608C">
        <w:rPr>
          <w:rFonts w:ascii="Century Gothic" w:hAnsi="Century Gothic"/>
          <w:color w:val="6D166C"/>
          <w:sz w:val="20"/>
          <w:szCs w:val="20"/>
        </w:rPr>
        <w:fldChar w:fldCharType="begin"/>
      </w:r>
      <w:r w:rsidRPr="0058608C">
        <w:rPr>
          <w:rFonts w:ascii="Century Gothic" w:hAnsi="Century Gothic"/>
          <w:color w:val="6D166C"/>
          <w:sz w:val="20"/>
          <w:szCs w:val="20"/>
        </w:rPr>
        <w:instrText xml:space="preserve"> TOC \h \z \c "Appendix Table" </w:instrText>
      </w:r>
      <w:r w:rsidRPr="0058608C">
        <w:rPr>
          <w:rFonts w:ascii="Century Gothic" w:hAnsi="Century Gothic"/>
          <w:color w:val="6D166C"/>
          <w:sz w:val="20"/>
          <w:szCs w:val="20"/>
        </w:rPr>
        <w:fldChar w:fldCharType="separate"/>
      </w:r>
      <w:hyperlink w:anchor="_Toc487119621" w:history="1">
        <w:r w:rsidR="0065189F" w:rsidRPr="0033211E">
          <w:rPr>
            <w:rStyle w:val="Hyperlink"/>
            <w:rFonts w:ascii="Century Gothic" w:hAnsi="Century Gothic"/>
            <w:b/>
            <w:bCs/>
            <w:noProof/>
          </w:rPr>
          <w:t>Appendix Table 1:</w:t>
        </w:r>
        <w:r w:rsidR="0065189F">
          <w:rPr>
            <w:noProof/>
            <w:webHidden/>
          </w:rPr>
          <w:tab/>
        </w:r>
        <w:r w:rsidR="0065189F">
          <w:rPr>
            <w:noProof/>
            <w:webHidden/>
          </w:rPr>
          <w:fldChar w:fldCharType="begin"/>
        </w:r>
        <w:r w:rsidR="0065189F">
          <w:rPr>
            <w:noProof/>
            <w:webHidden/>
          </w:rPr>
          <w:instrText xml:space="preserve"> PAGEREF _Toc487119621 \h </w:instrText>
        </w:r>
        <w:r w:rsidR="0065189F">
          <w:rPr>
            <w:noProof/>
            <w:webHidden/>
          </w:rPr>
        </w:r>
        <w:r w:rsidR="0065189F">
          <w:rPr>
            <w:noProof/>
            <w:webHidden/>
          </w:rPr>
          <w:fldChar w:fldCharType="separate"/>
        </w:r>
        <w:r w:rsidR="001470A9">
          <w:rPr>
            <w:noProof/>
            <w:webHidden/>
          </w:rPr>
          <w:t>38</w:t>
        </w:r>
        <w:r w:rsidR="0065189F">
          <w:rPr>
            <w:noProof/>
            <w:webHidden/>
          </w:rPr>
          <w:fldChar w:fldCharType="end"/>
        </w:r>
      </w:hyperlink>
    </w:p>
    <w:p w14:paraId="137B1A2C" w14:textId="10860596" w:rsidR="001C79A4" w:rsidRDefault="00B4024C" w:rsidP="0058608C">
      <w:pPr>
        <w:spacing w:line="360" w:lineRule="auto"/>
        <w:rPr>
          <w:rFonts w:ascii="Century Gothic" w:hAnsi="Century Gothic"/>
          <w:color w:val="6D166C"/>
          <w:sz w:val="20"/>
          <w:szCs w:val="20"/>
        </w:rPr>
      </w:pPr>
      <w:r w:rsidRPr="0058608C">
        <w:rPr>
          <w:rFonts w:ascii="Century Gothic" w:hAnsi="Century Gothic"/>
          <w:color w:val="6D166C"/>
          <w:sz w:val="20"/>
          <w:szCs w:val="20"/>
        </w:rPr>
        <w:fldChar w:fldCharType="end"/>
      </w:r>
    </w:p>
    <w:p w14:paraId="6806569C" w14:textId="77777777" w:rsidR="001C79A4" w:rsidRPr="008F303F" w:rsidRDefault="001C79A4" w:rsidP="001C79A4">
      <w:pPr>
        <w:rPr>
          <w:rFonts w:ascii="Century Gothic" w:hAnsi="Century Gothic"/>
          <w:b/>
          <w:bCs/>
          <w:color w:val="44546A"/>
          <w:sz w:val="24"/>
          <w:szCs w:val="24"/>
        </w:rPr>
      </w:pPr>
      <w:r w:rsidRPr="008F303F">
        <w:rPr>
          <w:rFonts w:ascii="Century Gothic" w:hAnsi="Century Gothic"/>
          <w:b/>
          <w:bCs/>
          <w:color w:val="44546A"/>
          <w:sz w:val="24"/>
          <w:szCs w:val="24"/>
        </w:rPr>
        <w:t>List of A</w:t>
      </w:r>
      <w:r w:rsidRPr="00293C83">
        <w:rPr>
          <w:rFonts w:ascii="Century Gothic" w:hAnsi="Century Gothic"/>
          <w:b/>
          <w:bCs/>
          <w:color w:val="44546A"/>
          <w:sz w:val="24"/>
          <w:szCs w:val="24"/>
        </w:rPr>
        <w:t xml:space="preserve">ppendix </w:t>
      </w:r>
      <w:r w:rsidRPr="008F303F">
        <w:rPr>
          <w:rFonts w:ascii="Century Gothic" w:hAnsi="Century Gothic"/>
          <w:b/>
          <w:bCs/>
          <w:color w:val="44546A"/>
          <w:sz w:val="24"/>
          <w:szCs w:val="24"/>
        </w:rPr>
        <w:t>Figures</w:t>
      </w:r>
    </w:p>
    <w:p w14:paraId="5B701343" w14:textId="436631C8" w:rsidR="0065189F" w:rsidRDefault="00B4024C">
      <w:pPr>
        <w:pStyle w:val="TableofFigures"/>
        <w:tabs>
          <w:tab w:val="right" w:leader="dot" w:pos="9911"/>
        </w:tabs>
        <w:rPr>
          <w:noProof/>
        </w:rPr>
      </w:pPr>
      <w:r w:rsidRPr="0058608C">
        <w:rPr>
          <w:rFonts w:ascii="Century Gothic" w:hAnsi="Century Gothic"/>
          <w:sz w:val="20"/>
          <w:szCs w:val="20"/>
        </w:rPr>
        <w:fldChar w:fldCharType="begin"/>
      </w:r>
      <w:r w:rsidRPr="0058608C">
        <w:rPr>
          <w:rFonts w:ascii="Century Gothic" w:hAnsi="Century Gothic"/>
          <w:sz w:val="20"/>
          <w:szCs w:val="20"/>
        </w:rPr>
        <w:instrText xml:space="preserve"> TOC \h \z \c "Appendix Figure" </w:instrText>
      </w:r>
      <w:r w:rsidRPr="0058608C">
        <w:rPr>
          <w:rFonts w:ascii="Century Gothic" w:hAnsi="Century Gothic"/>
          <w:sz w:val="20"/>
          <w:szCs w:val="20"/>
        </w:rPr>
        <w:fldChar w:fldCharType="separate"/>
      </w:r>
      <w:hyperlink w:anchor="_Toc487119622" w:history="1">
        <w:r w:rsidR="0065189F" w:rsidRPr="00CF0E7A">
          <w:rPr>
            <w:rStyle w:val="Hyperlink"/>
            <w:rFonts w:ascii="Century Gothic" w:hAnsi="Century Gothic"/>
            <w:b/>
            <w:bCs/>
            <w:noProof/>
          </w:rPr>
          <w:t>Appendix Figure 1</w:t>
        </w:r>
        <w:r w:rsidR="0065189F">
          <w:rPr>
            <w:noProof/>
            <w:webHidden/>
          </w:rPr>
          <w:tab/>
        </w:r>
        <w:r w:rsidR="0065189F">
          <w:rPr>
            <w:noProof/>
            <w:webHidden/>
          </w:rPr>
          <w:fldChar w:fldCharType="begin"/>
        </w:r>
        <w:r w:rsidR="0065189F">
          <w:rPr>
            <w:noProof/>
            <w:webHidden/>
          </w:rPr>
          <w:instrText xml:space="preserve"> PAGEREF _Toc487119622 \h </w:instrText>
        </w:r>
        <w:r w:rsidR="0065189F">
          <w:rPr>
            <w:noProof/>
            <w:webHidden/>
          </w:rPr>
        </w:r>
        <w:r w:rsidR="0065189F">
          <w:rPr>
            <w:noProof/>
            <w:webHidden/>
          </w:rPr>
          <w:fldChar w:fldCharType="separate"/>
        </w:r>
        <w:r w:rsidR="001470A9">
          <w:rPr>
            <w:noProof/>
            <w:webHidden/>
          </w:rPr>
          <w:t>39</w:t>
        </w:r>
        <w:r w:rsidR="0065189F">
          <w:rPr>
            <w:noProof/>
            <w:webHidden/>
          </w:rPr>
          <w:fldChar w:fldCharType="end"/>
        </w:r>
      </w:hyperlink>
    </w:p>
    <w:p w14:paraId="606CA6D3" w14:textId="25A4E846" w:rsidR="00A36184" w:rsidRDefault="00B4024C" w:rsidP="0058608C">
      <w:pPr>
        <w:spacing w:line="360" w:lineRule="auto"/>
        <w:rPr>
          <w:rFonts w:ascii="Century Gothic" w:hAnsi="Century Gothic"/>
          <w:sz w:val="20"/>
          <w:szCs w:val="20"/>
        </w:rPr>
      </w:pPr>
      <w:r w:rsidRPr="0058608C">
        <w:rPr>
          <w:rFonts w:ascii="Century Gothic" w:hAnsi="Century Gothic"/>
          <w:sz w:val="20"/>
          <w:szCs w:val="20"/>
        </w:rPr>
        <w:fldChar w:fldCharType="end"/>
      </w:r>
    </w:p>
    <w:p w14:paraId="4348D2B4" w14:textId="0EC26CC3" w:rsidR="00A36184" w:rsidRDefault="00A36184" w:rsidP="00D34855">
      <w:pPr>
        <w:spacing w:line="360" w:lineRule="auto"/>
        <w:rPr>
          <w:rFonts w:ascii="Century Gothic" w:hAnsi="Century Gothic"/>
          <w:sz w:val="20"/>
          <w:szCs w:val="20"/>
        </w:rPr>
      </w:pPr>
    </w:p>
    <w:p w14:paraId="53D334C1" w14:textId="1B55B728" w:rsidR="00A8121A" w:rsidRDefault="00A8121A" w:rsidP="00D34855">
      <w:pPr>
        <w:spacing w:line="360" w:lineRule="auto"/>
        <w:rPr>
          <w:rFonts w:ascii="Century Gothic" w:hAnsi="Century Gothic"/>
          <w:sz w:val="20"/>
          <w:szCs w:val="20"/>
        </w:rPr>
      </w:pPr>
    </w:p>
    <w:p w14:paraId="4260474F" w14:textId="2EBA6C1A" w:rsidR="00A8121A" w:rsidRDefault="00A8121A" w:rsidP="00D34855">
      <w:pPr>
        <w:spacing w:line="360" w:lineRule="auto"/>
        <w:rPr>
          <w:rFonts w:ascii="Century Gothic" w:hAnsi="Century Gothic"/>
          <w:sz w:val="20"/>
          <w:szCs w:val="20"/>
        </w:rPr>
      </w:pPr>
    </w:p>
    <w:p w14:paraId="40D1E255" w14:textId="4D1E18BE" w:rsidR="00A8121A" w:rsidRDefault="00A8121A" w:rsidP="00D34855">
      <w:pPr>
        <w:spacing w:line="360" w:lineRule="auto"/>
        <w:rPr>
          <w:rFonts w:ascii="Century Gothic" w:hAnsi="Century Gothic"/>
          <w:sz w:val="20"/>
          <w:szCs w:val="20"/>
        </w:rPr>
      </w:pPr>
    </w:p>
    <w:p w14:paraId="16A817C1" w14:textId="00134A9C" w:rsidR="00A8121A" w:rsidRDefault="00A8121A" w:rsidP="00D34855">
      <w:pPr>
        <w:spacing w:line="360" w:lineRule="auto"/>
        <w:rPr>
          <w:rFonts w:ascii="Century Gothic" w:hAnsi="Century Gothic"/>
          <w:sz w:val="20"/>
          <w:szCs w:val="20"/>
        </w:rPr>
      </w:pPr>
    </w:p>
    <w:p w14:paraId="7F21F7DE" w14:textId="65C02D10" w:rsidR="00A8121A" w:rsidRDefault="00A8121A" w:rsidP="00D34855">
      <w:pPr>
        <w:spacing w:line="360" w:lineRule="auto"/>
        <w:rPr>
          <w:rFonts w:ascii="Century Gothic" w:hAnsi="Century Gothic"/>
          <w:sz w:val="20"/>
          <w:szCs w:val="20"/>
        </w:rPr>
      </w:pPr>
    </w:p>
    <w:p w14:paraId="7BE3141E" w14:textId="77777777" w:rsidR="00DB35FF" w:rsidRDefault="00DB35FF" w:rsidP="00D34855">
      <w:pPr>
        <w:spacing w:line="360" w:lineRule="auto"/>
        <w:rPr>
          <w:rFonts w:ascii="Century Gothic" w:hAnsi="Century Gothic"/>
          <w:sz w:val="20"/>
          <w:szCs w:val="20"/>
        </w:rPr>
        <w:sectPr w:rsidR="00DB35FF" w:rsidSect="0058608C">
          <w:footerReference w:type="default" r:id="rId12"/>
          <w:pgSz w:w="11906" w:h="16838"/>
          <w:pgMar w:top="1134" w:right="851" w:bottom="1134" w:left="1134" w:header="709" w:footer="551" w:gutter="0"/>
          <w:pgNumType w:fmt="upperRoman" w:start="0"/>
          <w:cols w:space="708"/>
          <w:titlePg/>
          <w:docGrid w:linePitch="360"/>
        </w:sectPr>
      </w:pPr>
    </w:p>
    <w:p w14:paraId="1A40D968" w14:textId="77777777" w:rsidR="000C072D" w:rsidRPr="00394292" w:rsidRDefault="006A08A9" w:rsidP="000C072D">
      <w:pPr>
        <w:pStyle w:val="Heading1"/>
        <w:rPr>
          <w:rFonts w:ascii="Century Gothic" w:hAnsi="Century Gothic"/>
          <w:b/>
          <w:bCs/>
          <w:color w:val="3DA5BD"/>
        </w:rPr>
      </w:pPr>
      <w:bookmarkStart w:id="1" w:name="_Toc491783035"/>
      <w:r>
        <w:rPr>
          <w:rFonts w:ascii="Century Gothic" w:hAnsi="Century Gothic"/>
          <w:b/>
          <w:bCs/>
          <w:color w:val="3DA5BD"/>
        </w:rPr>
        <w:lastRenderedPageBreak/>
        <w:t>E</w:t>
      </w:r>
      <w:r w:rsidR="00315D88" w:rsidRPr="00394292">
        <w:rPr>
          <w:rFonts w:ascii="Century Gothic" w:hAnsi="Century Gothic"/>
          <w:b/>
          <w:bCs/>
          <w:color w:val="3DA5BD"/>
        </w:rPr>
        <w:t>xecutive Summary</w:t>
      </w:r>
      <w:bookmarkEnd w:id="1"/>
    </w:p>
    <w:p w14:paraId="44E123CD" w14:textId="77777777" w:rsidR="0045212C" w:rsidRDefault="0045212C" w:rsidP="00E2353D">
      <w:pPr>
        <w:pStyle w:val="NoSpacing"/>
      </w:pPr>
    </w:p>
    <w:p w14:paraId="563122A9" w14:textId="77777777" w:rsidR="00CD3482" w:rsidRPr="00E50D01" w:rsidRDefault="00CD3482" w:rsidP="0094760F">
      <w:pPr>
        <w:spacing w:after="0" w:line="360" w:lineRule="auto"/>
        <w:rPr>
          <w:rFonts w:ascii="Century Gothic" w:hAnsi="Century Gothic"/>
          <w:b/>
          <w:bCs/>
          <w:sz w:val="21"/>
          <w:szCs w:val="21"/>
        </w:rPr>
      </w:pPr>
      <w:r w:rsidRPr="00E50D01">
        <w:rPr>
          <w:rFonts w:ascii="Century Gothic" w:hAnsi="Century Gothic"/>
          <w:b/>
          <w:bCs/>
          <w:sz w:val="21"/>
          <w:szCs w:val="21"/>
        </w:rPr>
        <w:t>Introduction</w:t>
      </w:r>
    </w:p>
    <w:p w14:paraId="360B9878" w14:textId="77777777" w:rsidR="00CD3482" w:rsidRPr="0085795A" w:rsidRDefault="00CD3482" w:rsidP="0094760F">
      <w:pPr>
        <w:pStyle w:val="ListParagraph"/>
        <w:numPr>
          <w:ilvl w:val="0"/>
          <w:numId w:val="18"/>
        </w:numPr>
        <w:spacing w:after="0" w:line="360" w:lineRule="auto"/>
        <w:ind w:left="426" w:hanging="426"/>
        <w:rPr>
          <w:rFonts w:ascii="Century Gothic" w:hAnsi="Century Gothic"/>
          <w:b/>
          <w:bCs/>
          <w:sz w:val="21"/>
          <w:szCs w:val="21"/>
        </w:rPr>
      </w:pPr>
      <w:r>
        <w:rPr>
          <w:rFonts w:ascii="Century Gothic" w:hAnsi="Century Gothic"/>
          <w:sz w:val="21"/>
          <w:szCs w:val="21"/>
        </w:rPr>
        <w:t>For most iwi</w:t>
      </w:r>
      <w:r w:rsidRPr="0085795A">
        <w:rPr>
          <w:rFonts w:ascii="Century Gothic" w:hAnsi="Century Gothic"/>
          <w:color w:val="000000" w:themeColor="text1"/>
          <w:sz w:val="21"/>
          <w:szCs w:val="21"/>
        </w:rPr>
        <w:t xml:space="preserve">, the </w:t>
      </w:r>
      <w:r>
        <w:rPr>
          <w:rFonts w:ascii="Century Gothic" w:hAnsi="Century Gothic"/>
          <w:color w:val="000000" w:themeColor="text1"/>
          <w:sz w:val="21"/>
          <w:szCs w:val="21"/>
        </w:rPr>
        <w:t xml:space="preserve">population </w:t>
      </w:r>
      <w:r w:rsidRPr="0085795A">
        <w:rPr>
          <w:rFonts w:ascii="Century Gothic" w:hAnsi="Century Gothic"/>
          <w:color w:val="000000" w:themeColor="text1"/>
          <w:sz w:val="21"/>
          <w:szCs w:val="21"/>
        </w:rPr>
        <w:t xml:space="preserve">census remains the only representative source of data on </w:t>
      </w:r>
      <w:proofErr w:type="spellStart"/>
      <w:proofErr w:type="gramStart"/>
      <w:r>
        <w:rPr>
          <w:rFonts w:ascii="Century Gothic" w:hAnsi="Century Gothic"/>
          <w:color w:val="000000" w:themeColor="text1"/>
          <w:sz w:val="21"/>
          <w:szCs w:val="21"/>
        </w:rPr>
        <w:t>t</w:t>
      </w:r>
      <w:r w:rsidRPr="0085795A">
        <w:rPr>
          <w:rFonts w:ascii="Century Gothic" w:hAnsi="Century Gothic"/>
          <w:color w:val="000000" w:themeColor="text1"/>
          <w:sz w:val="21"/>
          <w:szCs w:val="21"/>
        </w:rPr>
        <w:t>e</w:t>
      </w:r>
      <w:proofErr w:type="spellEnd"/>
      <w:proofErr w:type="gramEnd"/>
      <w:r w:rsidRPr="0085795A">
        <w:rPr>
          <w:rFonts w:ascii="Century Gothic" w:hAnsi="Century Gothic"/>
          <w:color w:val="000000" w:themeColor="text1"/>
          <w:sz w:val="21"/>
          <w:szCs w:val="21"/>
        </w:rPr>
        <w:t xml:space="preserve"> reo Māori</w:t>
      </w:r>
      <w:r>
        <w:rPr>
          <w:rFonts w:ascii="Century Gothic" w:hAnsi="Century Gothic"/>
          <w:color w:val="000000" w:themeColor="text1"/>
          <w:sz w:val="21"/>
          <w:szCs w:val="21"/>
        </w:rPr>
        <w:t>.</w:t>
      </w:r>
    </w:p>
    <w:p w14:paraId="75E4FCB9" w14:textId="77777777" w:rsidR="00CD3482" w:rsidRPr="0085795A" w:rsidRDefault="00CD3482" w:rsidP="0094760F">
      <w:pPr>
        <w:spacing w:after="0" w:line="360" w:lineRule="auto"/>
        <w:ind w:left="426" w:hanging="426"/>
        <w:rPr>
          <w:rFonts w:ascii="Century Gothic" w:hAnsi="Century Gothic"/>
          <w:b/>
          <w:bCs/>
          <w:sz w:val="21"/>
          <w:szCs w:val="21"/>
        </w:rPr>
      </w:pPr>
    </w:p>
    <w:p w14:paraId="6CC029D5" w14:textId="77777777" w:rsidR="00CD3482" w:rsidRPr="0085795A" w:rsidRDefault="00CD3482" w:rsidP="0094760F">
      <w:pPr>
        <w:pStyle w:val="ListParagraph"/>
        <w:numPr>
          <w:ilvl w:val="0"/>
          <w:numId w:val="18"/>
        </w:numPr>
        <w:spacing w:after="0" w:line="360" w:lineRule="auto"/>
        <w:ind w:left="426" w:hanging="426"/>
        <w:rPr>
          <w:rFonts w:ascii="Century Gothic" w:hAnsi="Century Gothic"/>
          <w:b/>
          <w:bCs/>
          <w:sz w:val="21"/>
          <w:szCs w:val="21"/>
        </w:rPr>
      </w:pPr>
      <w:r w:rsidRPr="00B05CF8">
        <w:rPr>
          <w:rFonts w:ascii="Century Gothic" w:hAnsi="Century Gothic"/>
          <w:sz w:val="21"/>
          <w:szCs w:val="21"/>
        </w:rPr>
        <w:t xml:space="preserve">Since 1996 every census has included a question about the language(s) in which individuals can converse about a lot of everyday things. The strength of the census question is that it provides a consistent time series of the number and proportion of </w:t>
      </w:r>
      <w:proofErr w:type="spellStart"/>
      <w:proofErr w:type="gramStart"/>
      <w:r>
        <w:rPr>
          <w:rFonts w:ascii="Century Gothic" w:hAnsi="Century Gothic"/>
          <w:sz w:val="21"/>
          <w:szCs w:val="21"/>
        </w:rPr>
        <w:t>te</w:t>
      </w:r>
      <w:proofErr w:type="spellEnd"/>
      <w:proofErr w:type="gramEnd"/>
      <w:r>
        <w:rPr>
          <w:rFonts w:ascii="Century Gothic" w:hAnsi="Century Gothic"/>
          <w:sz w:val="21"/>
          <w:szCs w:val="21"/>
        </w:rPr>
        <w:t xml:space="preserve"> reo Māori speakers; t</w:t>
      </w:r>
      <w:r w:rsidRPr="00B05CF8">
        <w:rPr>
          <w:rFonts w:ascii="Century Gothic" w:hAnsi="Century Gothic"/>
          <w:sz w:val="21"/>
          <w:szCs w:val="21"/>
        </w:rPr>
        <w:t xml:space="preserve">he drawback is that </w:t>
      </w:r>
      <w:r>
        <w:rPr>
          <w:rFonts w:ascii="Century Gothic" w:hAnsi="Century Gothic"/>
          <w:sz w:val="21"/>
          <w:szCs w:val="21"/>
        </w:rPr>
        <w:t>it lacks</w:t>
      </w:r>
      <w:r w:rsidRPr="00B05CF8">
        <w:rPr>
          <w:rFonts w:ascii="Century Gothic" w:hAnsi="Century Gothic"/>
          <w:sz w:val="21"/>
          <w:szCs w:val="21"/>
        </w:rPr>
        <w:t xml:space="preserve"> a definition about what constitutes an everyday conversation in </w:t>
      </w:r>
      <w:proofErr w:type="spellStart"/>
      <w:r>
        <w:rPr>
          <w:rFonts w:ascii="Century Gothic" w:hAnsi="Century Gothic"/>
          <w:sz w:val="21"/>
          <w:szCs w:val="21"/>
        </w:rPr>
        <w:t>te</w:t>
      </w:r>
      <w:proofErr w:type="spellEnd"/>
      <w:r>
        <w:rPr>
          <w:rFonts w:ascii="Century Gothic" w:hAnsi="Century Gothic"/>
          <w:sz w:val="21"/>
          <w:szCs w:val="21"/>
        </w:rPr>
        <w:t xml:space="preserve"> reo Māori</w:t>
      </w:r>
      <w:r w:rsidRPr="00B05CF8">
        <w:rPr>
          <w:rFonts w:ascii="Century Gothic" w:hAnsi="Century Gothic"/>
          <w:sz w:val="21"/>
          <w:szCs w:val="21"/>
        </w:rPr>
        <w:t>.</w:t>
      </w:r>
    </w:p>
    <w:p w14:paraId="2311CE7C" w14:textId="77777777" w:rsidR="00CD3482" w:rsidRPr="0085795A" w:rsidRDefault="00CD3482" w:rsidP="0094760F">
      <w:pPr>
        <w:spacing w:after="0" w:line="360" w:lineRule="auto"/>
        <w:rPr>
          <w:rFonts w:ascii="Century Gothic" w:hAnsi="Century Gothic"/>
          <w:b/>
          <w:bCs/>
          <w:sz w:val="21"/>
          <w:szCs w:val="21"/>
        </w:rPr>
      </w:pPr>
    </w:p>
    <w:p w14:paraId="7D2B397E" w14:textId="77777777" w:rsidR="00CD3482" w:rsidRDefault="00CD3482" w:rsidP="0094760F">
      <w:pPr>
        <w:spacing w:after="0" w:line="360" w:lineRule="auto"/>
        <w:rPr>
          <w:rFonts w:ascii="Century Gothic" w:hAnsi="Century Gothic"/>
          <w:b/>
          <w:bCs/>
          <w:sz w:val="21"/>
          <w:szCs w:val="21"/>
          <w:lang w:val="mi-NZ"/>
        </w:rPr>
      </w:pPr>
      <w:r w:rsidRPr="00E50D01">
        <w:rPr>
          <w:rFonts w:ascii="Century Gothic" w:hAnsi="Century Gothic"/>
          <w:b/>
          <w:bCs/>
          <w:sz w:val="21"/>
          <w:szCs w:val="21"/>
        </w:rPr>
        <w:t>Population growth</w:t>
      </w:r>
      <w:r>
        <w:rPr>
          <w:rFonts w:ascii="Century Gothic" w:hAnsi="Century Gothic"/>
          <w:b/>
          <w:bCs/>
          <w:sz w:val="21"/>
          <w:szCs w:val="21"/>
        </w:rPr>
        <w:t xml:space="preserve"> of N</w:t>
      </w:r>
      <w:r>
        <w:rPr>
          <w:rFonts w:ascii="Century Gothic" w:hAnsi="Century Gothic"/>
          <w:b/>
          <w:bCs/>
          <w:sz w:val="21"/>
          <w:szCs w:val="21"/>
          <w:lang w:val="mi-NZ"/>
        </w:rPr>
        <w:t>gāi Tāmanuhiri</w:t>
      </w:r>
    </w:p>
    <w:p w14:paraId="1D8F2BCE" w14:textId="77777777" w:rsidR="00487B72" w:rsidRPr="0085795A" w:rsidRDefault="00487B72" w:rsidP="0094760F">
      <w:pPr>
        <w:spacing w:after="0" w:line="360" w:lineRule="auto"/>
        <w:rPr>
          <w:rFonts w:ascii="Century Gothic" w:hAnsi="Century Gothic"/>
          <w:b/>
          <w:bCs/>
          <w:sz w:val="21"/>
          <w:szCs w:val="21"/>
          <w:lang w:val="mi-NZ"/>
        </w:rPr>
      </w:pPr>
    </w:p>
    <w:p w14:paraId="7E499DCA" w14:textId="77777777" w:rsidR="00CD3482" w:rsidRPr="00E50D01" w:rsidRDefault="00CD3482" w:rsidP="0094760F">
      <w:pPr>
        <w:pStyle w:val="NoSpacing"/>
        <w:numPr>
          <w:ilvl w:val="0"/>
          <w:numId w:val="13"/>
        </w:numPr>
        <w:spacing w:line="360" w:lineRule="auto"/>
        <w:ind w:left="426" w:hanging="426"/>
        <w:rPr>
          <w:rFonts w:ascii="Century Gothic" w:hAnsi="Century Gothic"/>
          <w:sz w:val="21"/>
          <w:szCs w:val="21"/>
        </w:rPr>
      </w:pPr>
      <w:r w:rsidRPr="00E50D01">
        <w:rPr>
          <w:rFonts w:ascii="Century Gothic" w:hAnsi="Century Gothic"/>
          <w:color w:val="000000" w:themeColor="text1"/>
          <w:sz w:val="21"/>
          <w:szCs w:val="21"/>
        </w:rPr>
        <w:t xml:space="preserve">The number identifying as </w:t>
      </w:r>
      <w:proofErr w:type="spellStart"/>
      <w:r w:rsidRPr="00E50D01">
        <w:rPr>
          <w:rFonts w:ascii="Century Gothic" w:hAnsi="Century Gothic"/>
          <w:color w:val="000000" w:themeColor="text1"/>
          <w:sz w:val="21"/>
          <w:szCs w:val="21"/>
        </w:rPr>
        <w:t>Ngāi</w:t>
      </w:r>
      <w:proofErr w:type="spellEnd"/>
      <w:r w:rsidRPr="00E50D01">
        <w:rPr>
          <w:rFonts w:ascii="Century Gothic" w:hAnsi="Century Gothic"/>
          <w:color w:val="000000" w:themeColor="text1"/>
          <w:sz w:val="21"/>
          <w:szCs w:val="21"/>
        </w:rPr>
        <w:t xml:space="preserve"> </w:t>
      </w:r>
      <w:proofErr w:type="spellStart"/>
      <w:r w:rsidRPr="00E50D01">
        <w:rPr>
          <w:rFonts w:ascii="Century Gothic" w:hAnsi="Century Gothic"/>
          <w:color w:val="000000" w:themeColor="text1"/>
          <w:sz w:val="21"/>
          <w:szCs w:val="21"/>
        </w:rPr>
        <w:t>Tāmanuhiri</w:t>
      </w:r>
      <w:proofErr w:type="spellEnd"/>
      <w:r w:rsidRPr="00E50D01">
        <w:rPr>
          <w:rFonts w:ascii="Century Gothic" w:hAnsi="Century Gothic"/>
          <w:color w:val="000000" w:themeColor="text1"/>
          <w:sz w:val="21"/>
          <w:szCs w:val="21"/>
        </w:rPr>
        <w:t xml:space="preserve"> increased by 41.8 per cent between 2001 and 2006 census,</w:t>
      </w:r>
      <w:r>
        <w:rPr>
          <w:rFonts w:ascii="Century Gothic" w:hAnsi="Century Gothic"/>
          <w:color w:val="000000" w:themeColor="text1"/>
          <w:sz w:val="21"/>
          <w:szCs w:val="21"/>
        </w:rPr>
        <w:t xml:space="preserve"> from 1,170 to 1,659</w:t>
      </w:r>
      <w:r w:rsidRPr="00E50D01">
        <w:rPr>
          <w:rFonts w:ascii="Century Gothic" w:hAnsi="Century Gothic"/>
          <w:color w:val="000000" w:themeColor="text1"/>
          <w:sz w:val="21"/>
          <w:szCs w:val="21"/>
        </w:rPr>
        <w:t>. The growth between the 2006 and 2013 censuses was far more modest at just 3.6 per cent.</w:t>
      </w:r>
    </w:p>
    <w:p w14:paraId="69375ADF" w14:textId="77777777" w:rsidR="00CD3482" w:rsidRPr="00E50D01" w:rsidRDefault="00CD3482" w:rsidP="0094760F">
      <w:pPr>
        <w:pStyle w:val="NoSpacing"/>
        <w:spacing w:line="360" w:lineRule="auto"/>
        <w:ind w:left="426" w:hanging="426"/>
        <w:rPr>
          <w:rFonts w:ascii="Century Gothic" w:hAnsi="Century Gothic"/>
          <w:sz w:val="21"/>
          <w:szCs w:val="21"/>
        </w:rPr>
      </w:pPr>
    </w:p>
    <w:p w14:paraId="0BA60D08" w14:textId="0AE6E9BD" w:rsidR="00CD3482" w:rsidRDefault="00CD3482" w:rsidP="0094760F">
      <w:pPr>
        <w:pStyle w:val="NoSpacing"/>
        <w:numPr>
          <w:ilvl w:val="0"/>
          <w:numId w:val="13"/>
        </w:numPr>
        <w:spacing w:line="360" w:lineRule="auto"/>
        <w:ind w:left="426" w:hanging="426"/>
        <w:rPr>
          <w:rFonts w:ascii="Century Gothic" w:hAnsi="Century Gothic"/>
          <w:sz w:val="21"/>
          <w:szCs w:val="21"/>
        </w:rPr>
      </w:pPr>
      <w:r>
        <w:rPr>
          <w:rFonts w:ascii="Century Gothic" w:hAnsi="Century Gothic"/>
          <w:sz w:val="21"/>
          <w:szCs w:val="21"/>
        </w:rPr>
        <w:t>This level of g</w:t>
      </w:r>
      <w:r w:rsidRPr="00E50D01">
        <w:rPr>
          <w:rFonts w:ascii="Century Gothic" w:hAnsi="Century Gothic"/>
          <w:sz w:val="21"/>
          <w:szCs w:val="21"/>
        </w:rPr>
        <w:t>rowth cannot be explained by natural increase (more births than deaths)</w:t>
      </w:r>
      <w:r>
        <w:rPr>
          <w:rFonts w:ascii="Century Gothic" w:hAnsi="Century Gothic"/>
          <w:sz w:val="21"/>
          <w:szCs w:val="21"/>
        </w:rPr>
        <w:t>. Rather, several hundred i</w:t>
      </w:r>
      <w:r w:rsidRPr="00E50D01">
        <w:rPr>
          <w:rFonts w:ascii="Century Gothic" w:hAnsi="Century Gothic"/>
          <w:sz w:val="21"/>
          <w:szCs w:val="21"/>
        </w:rPr>
        <w:t xml:space="preserve">ndividuals who did not identify as </w:t>
      </w:r>
      <w:proofErr w:type="spellStart"/>
      <w:r w:rsidRPr="00E50D01">
        <w:rPr>
          <w:rFonts w:ascii="Century Gothic" w:hAnsi="Century Gothic"/>
          <w:sz w:val="21"/>
          <w:szCs w:val="21"/>
        </w:rPr>
        <w:t>Ngāi</w:t>
      </w:r>
      <w:proofErr w:type="spellEnd"/>
      <w:r w:rsidRPr="00E50D01">
        <w:rPr>
          <w:rFonts w:ascii="Century Gothic" w:hAnsi="Century Gothic"/>
          <w:sz w:val="21"/>
          <w:szCs w:val="21"/>
        </w:rPr>
        <w:t xml:space="preserve"> </w:t>
      </w:r>
      <w:proofErr w:type="spellStart"/>
      <w:r w:rsidRPr="00E50D01">
        <w:rPr>
          <w:rFonts w:ascii="Century Gothic" w:hAnsi="Century Gothic"/>
          <w:sz w:val="21"/>
          <w:szCs w:val="21"/>
        </w:rPr>
        <w:t>Tāmanuhiri</w:t>
      </w:r>
      <w:proofErr w:type="spellEnd"/>
      <w:r w:rsidRPr="00E50D01">
        <w:rPr>
          <w:rFonts w:ascii="Century Gothic" w:hAnsi="Century Gothic"/>
          <w:sz w:val="21"/>
          <w:szCs w:val="21"/>
        </w:rPr>
        <w:t xml:space="preserve"> in 2001 subsequently</w:t>
      </w:r>
      <w:r w:rsidR="000073BA">
        <w:rPr>
          <w:rFonts w:ascii="Century Gothic" w:hAnsi="Century Gothic"/>
          <w:sz w:val="21"/>
          <w:szCs w:val="21"/>
        </w:rPr>
        <w:t xml:space="preserve"> ch</w:t>
      </w:r>
      <w:r w:rsidR="002E0A92">
        <w:rPr>
          <w:rFonts w:ascii="Century Gothic" w:hAnsi="Century Gothic"/>
          <w:sz w:val="21"/>
          <w:szCs w:val="21"/>
        </w:rPr>
        <w:t xml:space="preserve">ose to do </w:t>
      </w:r>
      <w:r w:rsidRPr="00E50D01">
        <w:rPr>
          <w:rFonts w:ascii="Century Gothic" w:hAnsi="Century Gothic"/>
          <w:sz w:val="21"/>
          <w:szCs w:val="21"/>
        </w:rPr>
        <w:t>so in 2006</w:t>
      </w:r>
      <w:r w:rsidR="002E0A92">
        <w:rPr>
          <w:rFonts w:ascii="Century Gothic" w:hAnsi="Century Gothic"/>
          <w:sz w:val="21"/>
          <w:szCs w:val="21"/>
        </w:rPr>
        <w:t>, or were identified as such by a parent or caregiver</w:t>
      </w:r>
      <w:r w:rsidRPr="00E50D01">
        <w:rPr>
          <w:rFonts w:ascii="Century Gothic" w:hAnsi="Century Gothic"/>
          <w:sz w:val="21"/>
          <w:szCs w:val="21"/>
        </w:rPr>
        <w:t xml:space="preserve">. </w:t>
      </w:r>
    </w:p>
    <w:p w14:paraId="7C4EB495" w14:textId="77777777" w:rsidR="00CD3482" w:rsidRPr="0085795A" w:rsidRDefault="00CD3482" w:rsidP="0094760F">
      <w:pPr>
        <w:pStyle w:val="NoSpacing"/>
        <w:spacing w:line="360" w:lineRule="auto"/>
        <w:ind w:left="426" w:hanging="426"/>
        <w:rPr>
          <w:rFonts w:ascii="Century Gothic" w:hAnsi="Century Gothic"/>
          <w:sz w:val="21"/>
          <w:szCs w:val="21"/>
        </w:rPr>
      </w:pPr>
    </w:p>
    <w:p w14:paraId="7272BFAC" w14:textId="77777777" w:rsidR="00CD3482" w:rsidRDefault="00CD3482" w:rsidP="0094760F">
      <w:pPr>
        <w:pStyle w:val="NoSpacing"/>
        <w:numPr>
          <w:ilvl w:val="0"/>
          <w:numId w:val="13"/>
        </w:numPr>
        <w:spacing w:line="360" w:lineRule="auto"/>
        <w:ind w:left="426" w:hanging="426"/>
        <w:rPr>
          <w:rFonts w:ascii="Century Gothic" w:hAnsi="Century Gothic"/>
          <w:sz w:val="21"/>
          <w:szCs w:val="21"/>
        </w:rPr>
      </w:pPr>
      <w:r>
        <w:rPr>
          <w:rFonts w:ascii="Century Gothic" w:hAnsi="Century Gothic"/>
          <w:sz w:val="21"/>
          <w:szCs w:val="21"/>
        </w:rPr>
        <w:t xml:space="preserve">The growth of </w:t>
      </w:r>
      <w:proofErr w:type="spellStart"/>
      <w:r>
        <w:rPr>
          <w:rFonts w:ascii="Century Gothic" w:hAnsi="Century Gothic"/>
          <w:sz w:val="21"/>
          <w:szCs w:val="21"/>
        </w:rPr>
        <w:t>Ngāi</w:t>
      </w:r>
      <w:proofErr w:type="spellEnd"/>
      <w:r>
        <w:rPr>
          <w:rFonts w:ascii="Century Gothic" w:hAnsi="Century Gothic"/>
          <w:sz w:val="21"/>
          <w:szCs w:val="21"/>
        </w:rPr>
        <w:t xml:space="preserve"> </w:t>
      </w:r>
      <w:proofErr w:type="spellStart"/>
      <w:r>
        <w:rPr>
          <w:rFonts w:ascii="Century Gothic" w:hAnsi="Century Gothic"/>
          <w:sz w:val="21"/>
          <w:szCs w:val="21"/>
        </w:rPr>
        <w:t>Tāmanuhiri</w:t>
      </w:r>
      <w:proofErr w:type="spellEnd"/>
      <w:r>
        <w:rPr>
          <w:rFonts w:ascii="Century Gothic" w:hAnsi="Century Gothic"/>
          <w:sz w:val="21"/>
          <w:szCs w:val="21"/>
        </w:rPr>
        <w:t xml:space="preserve"> between 2001 and 2013 (46.9 per cent) far exceeded the growth of the overall Māori descent population (10.7 per cent).</w:t>
      </w:r>
    </w:p>
    <w:p w14:paraId="373019F4" w14:textId="77777777" w:rsidR="00CD3482" w:rsidRDefault="00CD3482" w:rsidP="0094760F">
      <w:pPr>
        <w:spacing w:line="360" w:lineRule="auto"/>
        <w:ind w:left="360"/>
        <w:rPr>
          <w:rFonts w:ascii="Century Gothic" w:hAnsi="Century Gothic"/>
          <w:sz w:val="21"/>
          <w:szCs w:val="21"/>
          <w:lang w:val="en-US"/>
        </w:rPr>
      </w:pPr>
    </w:p>
    <w:p w14:paraId="4B6071D8" w14:textId="77777777" w:rsidR="00CD3482" w:rsidRPr="0085795A" w:rsidRDefault="00CD3482" w:rsidP="0094760F">
      <w:pPr>
        <w:spacing w:line="360" w:lineRule="auto"/>
        <w:rPr>
          <w:rFonts w:ascii="Century Gothic" w:hAnsi="Century Gothic"/>
          <w:b/>
          <w:bCs/>
          <w:sz w:val="21"/>
          <w:szCs w:val="21"/>
          <w:lang w:val="en-US"/>
        </w:rPr>
      </w:pPr>
      <w:r w:rsidRPr="0085795A">
        <w:rPr>
          <w:rFonts w:ascii="Century Gothic" w:hAnsi="Century Gothic"/>
          <w:b/>
          <w:bCs/>
          <w:sz w:val="21"/>
          <w:szCs w:val="21"/>
          <w:lang w:val="en-US"/>
        </w:rPr>
        <w:t xml:space="preserve">Growth </w:t>
      </w:r>
      <w:r>
        <w:rPr>
          <w:rFonts w:ascii="Century Gothic" w:hAnsi="Century Gothic"/>
          <w:b/>
          <w:bCs/>
          <w:sz w:val="21"/>
          <w:szCs w:val="21"/>
          <w:lang w:val="en-US"/>
        </w:rPr>
        <w:t xml:space="preserve">of </w:t>
      </w:r>
      <w:proofErr w:type="spellStart"/>
      <w:proofErr w:type="gramStart"/>
      <w:r>
        <w:rPr>
          <w:rFonts w:ascii="Century Gothic" w:hAnsi="Century Gothic"/>
          <w:b/>
          <w:bCs/>
          <w:sz w:val="21"/>
          <w:szCs w:val="21"/>
          <w:lang w:val="en-US"/>
        </w:rPr>
        <w:t>te</w:t>
      </w:r>
      <w:proofErr w:type="spellEnd"/>
      <w:proofErr w:type="gramEnd"/>
      <w:r w:rsidRPr="0085795A">
        <w:rPr>
          <w:rFonts w:ascii="Century Gothic" w:hAnsi="Century Gothic"/>
          <w:b/>
          <w:bCs/>
          <w:sz w:val="21"/>
          <w:szCs w:val="21"/>
          <w:lang w:val="en-US"/>
        </w:rPr>
        <w:t xml:space="preserve"> </w:t>
      </w:r>
      <w:r>
        <w:rPr>
          <w:rFonts w:ascii="Century Gothic" w:hAnsi="Century Gothic"/>
          <w:b/>
          <w:bCs/>
          <w:sz w:val="21"/>
          <w:szCs w:val="21"/>
          <w:lang w:val="en-US"/>
        </w:rPr>
        <w:t>re</w:t>
      </w:r>
      <w:r w:rsidRPr="0085795A">
        <w:rPr>
          <w:rFonts w:ascii="Century Gothic" w:hAnsi="Century Gothic"/>
          <w:b/>
          <w:bCs/>
          <w:sz w:val="21"/>
          <w:szCs w:val="21"/>
          <w:lang w:val="en-US"/>
        </w:rPr>
        <w:t xml:space="preserve">o </w:t>
      </w:r>
      <w:r>
        <w:rPr>
          <w:rFonts w:ascii="Century Gothic" w:hAnsi="Century Gothic"/>
          <w:b/>
          <w:bCs/>
          <w:sz w:val="21"/>
          <w:szCs w:val="21"/>
          <w:lang w:val="en-US"/>
        </w:rPr>
        <w:t xml:space="preserve">Māori </w:t>
      </w:r>
      <w:r w:rsidRPr="0085795A">
        <w:rPr>
          <w:rFonts w:ascii="Century Gothic" w:hAnsi="Century Gothic"/>
          <w:b/>
          <w:bCs/>
          <w:sz w:val="21"/>
          <w:szCs w:val="21"/>
          <w:lang w:val="en-US"/>
        </w:rPr>
        <w:t>speakers</w:t>
      </w:r>
    </w:p>
    <w:p w14:paraId="4DFC3AE4" w14:textId="37A74AF7" w:rsidR="00CD3482" w:rsidRPr="00591438" w:rsidRDefault="00CD3482" w:rsidP="0094760F">
      <w:pPr>
        <w:pStyle w:val="ListParagraph"/>
        <w:numPr>
          <w:ilvl w:val="0"/>
          <w:numId w:val="19"/>
        </w:numPr>
        <w:spacing w:line="360" w:lineRule="auto"/>
        <w:ind w:left="426" w:hanging="426"/>
        <w:rPr>
          <w:rFonts w:ascii="Century Gothic" w:hAnsi="Century Gothic"/>
          <w:sz w:val="21"/>
          <w:szCs w:val="21"/>
          <w:lang w:val="en-US"/>
        </w:rPr>
      </w:pPr>
      <w:r>
        <w:rPr>
          <w:rFonts w:ascii="Century Gothic" w:hAnsi="Century Gothic"/>
          <w:color w:val="000000" w:themeColor="text1"/>
          <w:sz w:val="21"/>
          <w:szCs w:val="21"/>
          <w:lang w:val="en-US"/>
        </w:rPr>
        <w:t>Be</w:t>
      </w:r>
      <w:r w:rsidRPr="0085795A">
        <w:rPr>
          <w:rFonts w:ascii="Century Gothic" w:hAnsi="Century Gothic"/>
          <w:color w:val="000000" w:themeColor="text1"/>
          <w:sz w:val="21"/>
          <w:szCs w:val="21"/>
        </w:rPr>
        <w:t xml:space="preserve">tween 2001 and 2006 the </w:t>
      </w:r>
      <w:r w:rsidRPr="00487B72">
        <w:rPr>
          <w:rFonts w:ascii="Century Gothic" w:hAnsi="Century Gothic"/>
          <w:color w:val="000000" w:themeColor="text1"/>
          <w:sz w:val="21"/>
          <w:szCs w:val="21"/>
          <w:u w:val="single"/>
        </w:rPr>
        <w:t xml:space="preserve">number </w:t>
      </w:r>
      <w:r w:rsidRPr="0085795A">
        <w:rPr>
          <w:rFonts w:ascii="Century Gothic" w:hAnsi="Century Gothic"/>
          <w:color w:val="000000" w:themeColor="text1"/>
          <w:sz w:val="21"/>
          <w:szCs w:val="21"/>
        </w:rPr>
        <w:t xml:space="preserve">of </w:t>
      </w:r>
      <w:proofErr w:type="spellStart"/>
      <w:proofErr w:type="gramStart"/>
      <w:r w:rsidR="002E0A92">
        <w:rPr>
          <w:rFonts w:ascii="Century Gothic" w:hAnsi="Century Gothic"/>
          <w:color w:val="000000" w:themeColor="text1"/>
          <w:sz w:val="21"/>
          <w:szCs w:val="21"/>
        </w:rPr>
        <w:t>t</w:t>
      </w:r>
      <w:r w:rsidRPr="0085795A">
        <w:rPr>
          <w:rFonts w:ascii="Century Gothic" w:hAnsi="Century Gothic"/>
          <w:color w:val="000000" w:themeColor="text1"/>
          <w:sz w:val="21"/>
          <w:szCs w:val="21"/>
        </w:rPr>
        <w:t>e</w:t>
      </w:r>
      <w:proofErr w:type="spellEnd"/>
      <w:proofErr w:type="gramEnd"/>
      <w:r w:rsidRPr="0085795A">
        <w:rPr>
          <w:rFonts w:ascii="Century Gothic" w:hAnsi="Century Gothic"/>
          <w:color w:val="000000" w:themeColor="text1"/>
          <w:sz w:val="21"/>
          <w:szCs w:val="21"/>
        </w:rPr>
        <w:t xml:space="preserve"> reo Māori speakers affiliated with </w:t>
      </w:r>
      <w:proofErr w:type="spellStart"/>
      <w:r w:rsidRPr="0085795A">
        <w:rPr>
          <w:rFonts w:ascii="Century Gothic" w:hAnsi="Century Gothic"/>
          <w:color w:val="000000" w:themeColor="text1"/>
          <w:sz w:val="21"/>
          <w:szCs w:val="21"/>
        </w:rPr>
        <w:t>Ngāi</w:t>
      </w:r>
      <w:proofErr w:type="spellEnd"/>
      <w:r w:rsidRPr="0085795A">
        <w:rPr>
          <w:rFonts w:ascii="Century Gothic" w:hAnsi="Century Gothic"/>
          <w:color w:val="000000" w:themeColor="text1"/>
          <w:sz w:val="21"/>
          <w:szCs w:val="21"/>
        </w:rPr>
        <w:t xml:space="preserve"> </w:t>
      </w:r>
      <w:proofErr w:type="spellStart"/>
      <w:r w:rsidRPr="0085795A">
        <w:rPr>
          <w:rFonts w:ascii="Century Gothic" w:hAnsi="Century Gothic"/>
          <w:color w:val="000000" w:themeColor="text1"/>
          <w:sz w:val="21"/>
          <w:szCs w:val="21"/>
        </w:rPr>
        <w:t>Tāmanuhiri</w:t>
      </w:r>
      <w:proofErr w:type="spellEnd"/>
      <w:r w:rsidRPr="0085795A">
        <w:rPr>
          <w:rFonts w:ascii="Century Gothic" w:hAnsi="Century Gothic"/>
          <w:color w:val="000000" w:themeColor="text1"/>
          <w:sz w:val="21"/>
          <w:szCs w:val="21"/>
        </w:rPr>
        <w:t xml:space="preserve"> increased from 516 to 693, which was an increase of just over one third.</w:t>
      </w:r>
      <w:r>
        <w:rPr>
          <w:rFonts w:ascii="Century Gothic" w:hAnsi="Century Gothic"/>
          <w:color w:val="000000" w:themeColor="text1"/>
          <w:sz w:val="21"/>
          <w:szCs w:val="21"/>
        </w:rPr>
        <w:t xml:space="preserve"> The increase was much smaller between 2006 and 2013 at 3.5 per cent which translated into an additional 24 speakers.</w:t>
      </w:r>
    </w:p>
    <w:p w14:paraId="606C2B58" w14:textId="77777777" w:rsidR="00CD3482" w:rsidRPr="00591438" w:rsidRDefault="00CD3482" w:rsidP="0094760F">
      <w:pPr>
        <w:pStyle w:val="ListParagraph"/>
        <w:spacing w:line="360" w:lineRule="auto"/>
        <w:ind w:left="426" w:hanging="426"/>
        <w:rPr>
          <w:rFonts w:ascii="Century Gothic" w:hAnsi="Century Gothic"/>
          <w:sz w:val="21"/>
          <w:szCs w:val="21"/>
          <w:lang w:val="en-US"/>
        </w:rPr>
      </w:pPr>
    </w:p>
    <w:p w14:paraId="30C7CC1A" w14:textId="763E0688" w:rsidR="00CD3482" w:rsidRDefault="00CD3482" w:rsidP="0094760F">
      <w:pPr>
        <w:pStyle w:val="ListParagraph"/>
        <w:numPr>
          <w:ilvl w:val="0"/>
          <w:numId w:val="19"/>
        </w:numPr>
        <w:spacing w:line="360" w:lineRule="auto"/>
        <w:ind w:left="426" w:hanging="426"/>
        <w:rPr>
          <w:rFonts w:ascii="Century Gothic" w:hAnsi="Century Gothic"/>
          <w:sz w:val="21"/>
          <w:szCs w:val="21"/>
          <w:lang w:val="en-US"/>
        </w:rPr>
      </w:pPr>
      <w:r w:rsidRPr="00591438">
        <w:rPr>
          <w:rFonts w:ascii="Century Gothic" w:hAnsi="Century Gothic"/>
          <w:sz w:val="21"/>
          <w:szCs w:val="21"/>
          <w:lang w:val="en-US"/>
        </w:rPr>
        <w:t xml:space="preserve">The increase in the number </w:t>
      </w:r>
      <w:r w:rsidR="002E0A92">
        <w:rPr>
          <w:rFonts w:ascii="Century Gothic" w:hAnsi="Century Gothic"/>
          <w:sz w:val="21"/>
          <w:szCs w:val="21"/>
          <w:lang w:val="en-US"/>
        </w:rPr>
        <w:t xml:space="preserve">of </w:t>
      </w:r>
      <w:proofErr w:type="spellStart"/>
      <w:r w:rsidR="002E0A92">
        <w:rPr>
          <w:rFonts w:ascii="Century Gothic" w:hAnsi="Century Gothic"/>
          <w:sz w:val="21"/>
          <w:szCs w:val="21"/>
          <w:lang w:val="en-US"/>
        </w:rPr>
        <w:t>Ngāi</w:t>
      </w:r>
      <w:proofErr w:type="spellEnd"/>
      <w:r w:rsidR="002E0A92">
        <w:rPr>
          <w:rFonts w:ascii="Century Gothic" w:hAnsi="Century Gothic"/>
          <w:sz w:val="21"/>
          <w:szCs w:val="21"/>
          <w:lang w:val="en-US"/>
        </w:rPr>
        <w:t xml:space="preserve"> </w:t>
      </w:r>
      <w:proofErr w:type="spellStart"/>
      <w:r w:rsidR="002E0A92">
        <w:rPr>
          <w:rFonts w:ascii="Century Gothic" w:hAnsi="Century Gothic"/>
          <w:sz w:val="21"/>
          <w:szCs w:val="21"/>
          <w:lang w:val="en-US"/>
        </w:rPr>
        <w:t>Tāmanuhiri</w:t>
      </w:r>
      <w:proofErr w:type="spellEnd"/>
      <w:r w:rsidR="002E0A92">
        <w:rPr>
          <w:rFonts w:ascii="Century Gothic" w:hAnsi="Century Gothic"/>
          <w:sz w:val="21"/>
          <w:szCs w:val="21"/>
          <w:lang w:val="en-US"/>
        </w:rPr>
        <w:t xml:space="preserve"> </w:t>
      </w:r>
      <w:proofErr w:type="spellStart"/>
      <w:proofErr w:type="gramStart"/>
      <w:r w:rsidR="002E0A92">
        <w:rPr>
          <w:rFonts w:ascii="Century Gothic" w:hAnsi="Century Gothic"/>
          <w:sz w:val="21"/>
          <w:szCs w:val="21"/>
          <w:lang w:val="en-US"/>
        </w:rPr>
        <w:t>te</w:t>
      </w:r>
      <w:proofErr w:type="spellEnd"/>
      <w:proofErr w:type="gramEnd"/>
      <w:r w:rsidR="002E0A92">
        <w:rPr>
          <w:rFonts w:ascii="Century Gothic" w:hAnsi="Century Gothic"/>
          <w:sz w:val="21"/>
          <w:szCs w:val="21"/>
          <w:lang w:val="en-US"/>
        </w:rPr>
        <w:t xml:space="preserve"> reo </w:t>
      </w:r>
      <w:r w:rsidRPr="00591438">
        <w:rPr>
          <w:rFonts w:ascii="Century Gothic" w:hAnsi="Century Gothic"/>
          <w:sz w:val="21"/>
          <w:szCs w:val="21"/>
          <w:lang w:val="en-US"/>
        </w:rPr>
        <w:t xml:space="preserve">speakers contrasts with the declining number of </w:t>
      </w:r>
      <w:proofErr w:type="spellStart"/>
      <w:r w:rsidRPr="00591438">
        <w:rPr>
          <w:rFonts w:ascii="Century Gothic" w:hAnsi="Century Gothic"/>
          <w:sz w:val="21"/>
          <w:szCs w:val="21"/>
          <w:lang w:val="en-US"/>
        </w:rPr>
        <w:t>te</w:t>
      </w:r>
      <w:proofErr w:type="spellEnd"/>
      <w:r w:rsidRPr="00591438">
        <w:rPr>
          <w:rFonts w:ascii="Century Gothic" w:hAnsi="Century Gothic"/>
          <w:sz w:val="21"/>
          <w:szCs w:val="21"/>
          <w:lang w:val="en-US"/>
        </w:rPr>
        <w:t xml:space="preserve"> reo speakers in the Māori descent population. </w:t>
      </w:r>
      <w:r>
        <w:rPr>
          <w:rFonts w:ascii="Century Gothic" w:hAnsi="Century Gothic"/>
          <w:sz w:val="21"/>
          <w:szCs w:val="21"/>
          <w:lang w:val="en-US"/>
        </w:rPr>
        <w:t>Between 2001 and 2013 t</w:t>
      </w:r>
      <w:r w:rsidRPr="00591438">
        <w:rPr>
          <w:rFonts w:ascii="Century Gothic" w:hAnsi="Century Gothic"/>
          <w:sz w:val="21"/>
          <w:szCs w:val="21"/>
          <w:lang w:val="en-US"/>
        </w:rPr>
        <w:t xml:space="preserve">he number of </w:t>
      </w:r>
      <w:proofErr w:type="spellStart"/>
      <w:proofErr w:type="gramStart"/>
      <w:r w:rsidRPr="00591438">
        <w:rPr>
          <w:rFonts w:ascii="Century Gothic" w:hAnsi="Century Gothic"/>
          <w:sz w:val="21"/>
          <w:szCs w:val="21"/>
          <w:lang w:val="en-US"/>
        </w:rPr>
        <w:t>te</w:t>
      </w:r>
      <w:proofErr w:type="spellEnd"/>
      <w:proofErr w:type="gramEnd"/>
      <w:r w:rsidRPr="00591438">
        <w:rPr>
          <w:rFonts w:ascii="Century Gothic" w:hAnsi="Century Gothic"/>
          <w:sz w:val="21"/>
          <w:szCs w:val="21"/>
          <w:lang w:val="en-US"/>
        </w:rPr>
        <w:t xml:space="preserve"> reo speakers of Māori descent </w:t>
      </w:r>
      <w:r>
        <w:rPr>
          <w:rFonts w:ascii="Century Gothic" w:hAnsi="Century Gothic"/>
          <w:sz w:val="21"/>
          <w:szCs w:val="21"/>
          <w:lang w:val="en-US"/>
        </w:rPr>
        <w:t xml:space="preserve">actually </w:t>
      </w:r>
      <w:r w:rsidRPr="00591438">
        <w:rPr>
          <w:rFonts w:ascii="Century Gothic" w:hAnsi="Century Gothic"/>
          <w:sz w:val="21"/>
          <w:szCs w:val="21"/>
          <w:lang w:val="en-US"/>
        </w:rPr>
        <w:t>declined by 3.2 per cent</w:t>
      </w:r>
      <w:r>
        <w:rPr>
          <w:rFonts w:ascii="Century Gothic" w:hAnsi="Century Gothic"/>
          <w:sz w:val="21"/>
          <w:szCs w:val="21"/>
          <w:lang w:val="en-US"/>
        </w:rPr>
        <w:t>.</w:t>
      </w:r>
      <w:r w:rsidRPr="00591438">
        <w:rPr>
          <w:rFonts w:ascii="Century Gothic" w:hAnsi="Century Gothic"/>
          <w:sz w:val="21"/>
          <w:szCs w:val="21"/>
          <w:lang w:val="en-US"/>
        </w:rPr>
        <w:t xml:space="preserve"> </w:t>
      </w:r>
    </w:p>
    <w:p w14:paraId="77590599" w14:textId="77777777" w:rsidR="001304E9" w:rsidRPr="001304E9" w:rsidRDefault="001304E9" w:rsidP="001304E9">
      <w:pPr>
        <w:pStyle w:val="ListParagraph"/>
        <w:rPr>
          <w:rFonts w:ascii="Century Gothic" w:hAnsi="Century Gothic"/>
          <w:sz w:val="21"/>
          <w:szCs w:val="21"/>
          <w:lang w:val="en-US"/>
        </w:rPr>
      </w:pPr>
    </w:p>
    <w:p w14:paraId="6F7BFCEF" w14:textId="77777777" w:rsidR="001304E9" w:rsidRPr="001304E9" w:rsidRDefault="001304E9" w:rsidP="001304E9">
      <w:pPr>
        <w:spacing w:line="360" w:lineRule="auto"/>
        <w:rPr>
          <w:rFonts w:ascii="Century Gothic" w:hAnsi="Century Gothic"/>
          <w:sz w:val="21"/>
          <w:szCs w:val="21"/>
          <w:lang w:val="en-US"/>
        </w:rPr>
      </w:pPr>
    </w:p>
    <w:p w14:paraId="7BEDC1F5" w14:textId="77777777" w:rsidR="00CD3482" w:rsidRDefault="00CD3482" w:rsidP="0094760F">
      <w:pPr>
        <w:spacing w:line="360" w:lineRule="auto"/>
        <w:rPr>
          <w:rFonts w:ascii="Century Gothic" w:hAnsi="Century Gothic"/>
          <w:sz w:val="21"/>
          <w:szCs w:val="21"/>
          <w:lang w:val="en-US"/>
        </w:rPr>
      </w:pPr>
      <w:r>
        <w:rPr>
          <w:rFonts w:ascii="Century Gothic" w:hAnsi="Century Gothic"/>
          <w:b/>
          <w:bCs/>
          <w:sz w:val="21"/>
          <w:szCs w:val="21"/>
          <w:lang w:val="en-US"/>
        </w:rPr>
        <w:lastRenderedPageBreak/>
        <w:t xml:space="preserve">Changes in the relative share of </w:t>
      </w:r>
      <w:proofErr w:type="spellStart"/>
      <w:proofErr w:type="gramStart"/>
      <w:r>
        <w:rPr>
          <w:rFonts w:ascii="Century Gothic" w:hAnsi="Century Gothic"/>
          <w:b/>
          <w:bCs/>
          <w:sz w:val="21"/>
          <w:szCs w:val="21"/>
          <w:lang w:val="en-US"/>
        </w:rPr>
        <w:t>te</w:t>
      </w:r>
      <w:proofErr w:type="spellEnd"/>
      <w:proofErr w:type="gramEnd"/>
      <w:r>
        <w:rPr>
          <w:rFonts w:ascii="Century Gothic" w:hAnsi="Century Gothic"/>
          <w:b/>
          <w:bCs/>
          <w:sz w:val="21"/>
          <w:szCs w:val="21"/>
          <w:lang w:val="en-US"/>
        </w:rPr>
        <w:t xml:space="preserve"> reo</w:t>
      </w:r>
      <w:r w:rsidRPr="0085795A">
        <w:rPr>
          <w:rFonts w:ascii="Century Gothic" w:hAnsi="Century Gothic"/>
          <w:b/>
          <w:bCs/>
          <w:sz w:val="21"/>
          <w:szCs w:val="21"/>
          <w:lang w:val="en-US"/>
        </w:rPr>
        <w:t xml:space="preserve"> </w:t>
      </w:r>
      <w:r>
        <w:rPr>
          <w:rFonts w:ascii="Century Gothic" w:hAnsi="Century Gothic"/>
          <w:b/>
          <w:bCs/>
          <w:sz w:val="21"/>
          <w:szCs w:val="21"/>
          <w:lang w:val="en-US"/>
        </w:rPr>
        <w:t xml:space="preserve">Māori </w:t>
      </w:r>
      <w:r w:rsidRPr="0085795A">
        <w:rPr>
          <w:rFonts w:ascii="Century Gothic" w:hAnsi="Century Gothic"/>
          <w:b/>
          <w:bCs/>
          <w:sz w:val="21"/>
          <w:szCs w:val="21"/>
          <w:lang w:val="en-US"/>
        </w:rPr>
        <w:t>speakers</w:t>
      </w:r>
    </w:p>
    <w:p w14:paraId="2DF9CF26" w14:textId="68815FE0" w:rsidR="00CD3482" w:rsidRPr="002E0A92" w:rsidRDefault="002E0A92" w:rsidP="0094760F">
      <w:pPr>
        <w:pStyle w:val="ListParagraph"/>
        <w:numPr>
          <w:ilvl w:val="0"/>
          <w:numId w:val="20"/>
        </w:numPr>
        <w:spacing w:line="360" w:lineRule="auto"/>
        <w:ind w:left="426" w:hanging="426"/>
        <w:rPr>
          <w:rFonts w:ascii="Century Gothic" w:hAnsi="Century Gothic"/>
          <w:sz w:val="21"/>
          <w:szCs w:val="21"/>
          <w:lang w:val="en-US"/>
        </w:rPr>
      </w:pPr>
      <w:r>
        <w:rPr>
          <w:rFonts w:ascii="Century Gothic" w:hAnsi="Century Gothic"/>
          <w:sz w:val="21"/>
          <w:szCs w:val="21"/>
        </w:rPr>
        <w:t>T</w:t>
      </w:r>
      <w:r w:rsidRPr="00591438">
        <w:rPr>
          <w:rFonts w:ascii="Century Gothic" w:hAnsi="Century Gothic"/>
          <w:sz w:val="21"/>
          <w:szCs w:val="21"/>
        </w:rPr>
        <w:t xml:space="preserve">he growth of </w:t>
      </w:r>
      <w:proofErr w:type="spellStart"/>
      <w:proofErr w:type="gramStart"/>
      <w:r w:rsidRPr="00591438">
        <w:rPr>
          <w:rFonts w:ascii="Century Gothic" w:hAnsi="Century Gothic"/>
          <w:sz w:val="21"/>
          <w:szCs w:val="21"/>
        </w:rPr>
        <w:t>te</w:t>
      </w:r>
      <w:proofErr w:type="spellEnd"/>
      <w:proofErr w:type="gramEnd"/>
      <w:r w:rsidRPr="00591438">
        <w:rPr>
          <w:rFonts w:ascii="Century Gothic" w:hAnsi="Century Gothic"/>
          <w:sz w:val="21"/>
          <w:szCs w:val="21"/>
        </w:rPr>
        <w:t xml:space="preserve"> reo Māori</w:t>
      </w:r>
      <w:r>
        <w:rPr>
          <w:rFonts w:ascii="Century Gothic" w:hAnsi="Century Gothic"/>
          <w:sz w:val="21"/>
          <w:szCs w:val="21"/>
        </w:rPr>
        <w:t xml:space="preserve"> speakers has not kept pace</w:t>
      </w:r>
      <w:r w:rsidRPr="00591438">
        <w:rPr>
          <w:rFonts w:ascii="Century Gothic" w:hAnsi="Century Gothic"/>
          <w:sz w:val="21"/>
          <w:szCs w:val="21"/>
        </w:rPr>
        <w:t xml:space="preserve"> </w:t>
      </w:r>
      <w:r>
        <w:rPr>
          <w:rFonts w:ascii="Century Gothic" w:hAnsi="Century Gothic"/>
          <w:sz w:val="21"/>
          <w:szCs w:val="21"/>
        </w:rPr>
        <w:t>with the</w:t>
      </w:r>
      <w:r w:rsidRPr="00591438">
        <w:rPr>
          <w:rFonts w:ascii="Century Gothic" w:hAnsi="Century Gothic"/>
          <w:sz w:val="21"/>
          <w:szCs w:val="21"/>
        </w:rPr>
        <w:t xml:space="preserve"> growth in the </w:t>
      </w:r>
      <w:proofErr w:type="spellStart"/>
      <w:r w:rsidRPr="00591438">
        <w:rPr>
          <w:rFonts w:ascii="Century Gothic" w:hAnsi="Century Gothic"/>
          <w:sz w:val="21"/>
          <w:szCs w:val="21"/>
        </w:rPr>
        <w:t>Ngāi</w:t>
      </w:r>
      <w:proofErr w:type="spellEnd"/>
      <w:r w:rsidRPr="00591438">
        <w:rPr>
          <w:rFonts w:ascii="Century Gothic" w:hAnsi="Century Gothic"/>
          <w:sz w:val="21"/>
          <w:szCs w:val="21"/>
        </w:rPr>
        <w:t xml:space="preserve"> </w:t>
      </w:r>
      <w:proofErr w:type="spellStart"/>
      <w:r w:rsidRPr="00591438">
        <w:rPr>
          <w:rFonts w:ascii="Century Gothic" w:hAnsi="Century Gothic"/>
          <w:sz w:val="21"/>
          <w:szCs w:val="21"/>
        </w:rPr>
        <w:t>Tāmanuhiri</w:t>
      </w:r>
      <w:proofErr w:type="spellEnd"/>
      <w:r w:rsidRPr="00591438">
        <w:rPr>
          <w:rFonts w:ascii="Century Gothic" w:hAnsi="Century Gothic"/>
          <w:sz w:val="21"/>
          <w:szCs w:val="21"/>
        </w:rPr>
        <w:t xml:space="preserve"> population.</w:t>
      </w:r>
      <w:r>
        <w:rPr>
          <w:rFonts w:ascii="Century Gothic" w:hAnsi="Century Gothic"/>
          <w:sz w:val="21"/>
          <w:szCs w:val="21"/>
        </w:rPr>
        <w:t xml:space="preserve"> Thus, t</w:t>
      </w:r>
      <w:r w:rsidR="00CD3482" w:rsidRPr="002E0A92">
        <w:rPr>
          <w:rFonts w:ascii="Century Gothic" w:hAnsi="Century Gothic"/>
          <w:sz w:val="21"/>
          <w:szCs w:val="21"/>
        </w:rPr>
        <w:t xml:space="preserve">he </w:t>
      </w:r>
      <w:r w:rsidR="00CD3482" w:rsidRPr="00487B72">
        <w:rPr>
          <w:rFonts w:ascii="Century Gothic" w:hAnsi="Century Gothic"/>
          <w:sz w:val="21"/>
          <w:szCs w:val="21"/>
          <w:u w:val="single"/>
        </w:rPr>
        <w:t>percentage</w:t>
      </w:r>
      <w:r w:rsidR="00CD3482" w:rsidRPr="002E0A92">
        <w:rPr>
          <w:rFonts w:ascii="Century Gothic" w:hAnsi="Century Gothic"/>
          <w:sz w:val="21"/>
          <w:szCs w:val="21"/>
        </w:rPr>
        <w:t xml:space="preserve"> of </w:t>
      </w:r>
      <w:proofErr w:type="spellStart"/>
      <w:r w:rsidRPr="002E0A92">
        <w:rPr>
          <w:rFonts w:ascii="Century Gothic" w:hAnsi="Century Gothic"/>
          <w:sz w:val="21"/>
          <w:szCs w:val="21"/>
          <w:lang w:val="en-US"/>
        </w:rPr>
        <w:t>Ngāi</w:t>
      </w:r>
      <w:proofErr w:type="spellEnd"/>
      <w:r w:rsidRPr="002E0A92">
        <w:rPr>
          <w:rFonts w:ascii="Century Gothic" w:hAnsi="Century Gothic"/>
          <w:sz w:val="21"/>
          <w:szCs w:val="21"/>
          <w:lang w:val="en-US"/>
        </w:rPr>
        <w:t xml:space="preserve"> </w:t>
      </w:r>
      <w:proofErr w:type="spellStart"/>
      <w:r w:rsidRPr="002E0A92">
        <w:rPr>
          <w:rFonts w:ascii="Century Gothic" w:hAnsi="Century Gothic"/>
          <w:sz w:val="21"/>
          <w:szCs w:val="21"/>
          <w:lang w:val="en-US"/>
        </w:rPr>
        <w:t>Tāmanuhiri</w:t>
      </w:r>
      <w:proofErr w:type="spellEnd"/>
      <w:r w:rsidRPr="002E0A92">
        <w:rPr>
          <w:rFonts w:ascii="Century Gothic" w:hAnsi="Century Gothic"/>
          <w:sz w:val="21"/>
          <w:szCs w:val="21"/>
          <w:lang w:val="en-US"/>
        </w:rPr>
        <w:t xml:space="preserve"> that could speak </w:t>
      </w:r>
      <w:proofErr w:type="spellStart"/>
      <w:proofErr w:type="gramStart"/>
      <w:r w:rsidR="00CD3482" w:rsidRPr="002E0A92">
        <w:rPr>
          <w:rFonts w:ascii="Century Gothic" w:hAnsi="Century Gothic"/>
          <w:sz w:val="21"/>
          <w:szCs w:val="21"/>
        </w:rPr>
        <w:t>t</w:t>
      </w:r>
      <w:r w:rsidRPr="002E0A92">
        <w:rPr>
          <w:rFonts w:ascii="Century Gothic" w:hAnsi="Century Gothic"/>
          <w:sz w:val="21"/>
          <w:szCs w:val="21"/>
        </w:rPr>
        <w:t>e</w:t>
      </w:r>
      <w:proofErr w:type="spellEnd"/>
      <w:proofErr w:type="gramEnd"/>
      <w:r w:rsidRPr="002E0A92">
        <w:rPr>
          <w:rFonts w:ascii="Century Gothic" w:hAnsi="Century Gothic"/>
          <w:sz w:val="21"/>
          <w:szCs w:val="21"/>
        </w:rPr>
        <w:t xml:space="preserve"> reo </w:t>
      </w:r>
      <w:r w:rsidR="00CD3482" w:rsidRPr="002E0A92">
        <w:rPr>
          <w:rFonts w:ascii="Century Gothic" w:hAnsi="Century Gothic"/>
          <w:sz w:val="21"/>
          <w:szCs w:val="21"/>
        </w:rPr>
        <w:t xml:space="preserve">decreased slightly from 46.0 in 2001 to 42.9 per cent in 2006, and then remained relatively stable at 42.6 in 2013. </w:t>
      </w:r>
    </w:p>
    <w:p w14:paraId="46480A63" w14:textId="77777777" w:rsidR="002E0A92" w:rsidRPr="002E0A92" w:rsidRDefault="002E0A92" w:rsidP="0094760F">
      <w:pPr>
        <w:pStyle w:val="ListParagraph"/>
        <w:spacing w:line="360" w:lineRule="auto"/>
        <w:ind w:left="426" w:hanging="426"/>
        <w:rPr>
          <w:rFonts w:ascii="Century Gothic" w:hAnsi="Century Gothic"/>
          <w:sz w:val="21"/>
          <w:szCs w:val="21"/>
          <w:lang w:val="en-US"/>
        </w:rPr>
      </w:pPr>
    </w:p>
    <w:p w14:paraId="638CA790" w14:textId="34E441F4" w:rsidR="00CD3482" w:rsidRDefault="00CD3482" w:rsidP="0094760F">
      <w:pPr>
        <w:pStyle w:val="ListParagraph"/>
        <w:numPr>
          <w:ilvl w:val="0"/>
          <w:numId w:val="20"/>
        </w:numPr>
        <w:spacing w:after="0" w:line="360" w:lineRule="auto"/>
        <w:ind w:left="426" w:hanging="426"/>
        <w:rPr>
          <w:rFonts w:ascii="Century Gothic" w:hAnsi="Century Gothic"/>
          <w:sz w:val="21"/>
          <w:szCs w:val="21"/>
        </w:rPr>
      </w:pPr>
      <w:r>
        <w:rPr>
          <w:rFonts w:ascii="Century Gothic" w:hAnsi="Century Gothic"/>
          <w:sz w:val="21"/>
          <w:szCs w:val="21"/>
          <w:lang w:val="en-US"/>
        </w:rPr>
        <w:t xml:space="preserve">Nevertheless, </w:t>
      </w:r>
      <w:proofErr w:type="spellStart"/>
      <w:r w:rsidRPr="00FA368F">
        <w:rPr>
          <w:rFonts w:ascii="Century Gothic" w:hAnsi="Century Gothic"/>
          <w:sz w:val="21"/>
          <w:szCs w:val="21"/>
        </w:rPr>
        <w:t>Ngāi</w:t>
      </w:r>
      <w:proofErr w:type="spellEnd"/>
      <w:r w:rsidRPr="00FA368F">
        <w:rPr>
          <w:rFonts w:ascii="Century Gothic" w:hAnsi="Century Gothic"/>
          <w:sz w:val="21"/>
          <w:szCs w:val="21"/>
        </w:rPr>
        <w:t xml:space="preserve"> </w:t>
      </w:r>
      <w:proofErr w:type="spellStart"/>
      <w:r w:rsidRPr="00FA368F">
        <w:rPr>
          <w:rFonts w:ascii="Century Gothic" w:hAnsi="Century Gothic"/>
          <w:sz w:val="21"/>
          <w:szCs w:val="21"/>
        </w:rPr>
        <w:t>Tāmanuhiri</w:t>
      </w:r>
      <w:proofErr w:type="spellEnd"/>
      <w:r w:rsidRPr="00FA368F">
        <w:rPr>
          <w:rFonts w:ascii="Century Gothic" w:hAnsi="Century Gothic"/>
          <w:sz w:val="21"/>
          <w:szCs w:val="21"/>
        </w:rPr>
        <w:t xml:space="preserve"> </w:t>
      </w:r>
      <w:r>
        <w:rPr>
          <w:rFonts w:ascii="Century Gothic" w:hAnsi="Century Gothic"/>
          <w:sz w:val="21"/>
          <w:szCs w:val="21"/>
        </w:rPr>
        <w:t xml:space="preserve">continues to have </w:t>
      </w:r>
      <w:r w:rsidRPr="00FA368F">
        <w:rPr>
          <w:rFonts w:ascii="Century Gothic" w:hAnsi="Century Gothic"/>
          <w:sz w:val="21"/>
          <w:szCs w:val="21"/>
        </w:rPr>
        <w:t xml:space="preserve">substantial strength and vitality in </w:t>
      </w:r>
      <w:proofErr w:type="spellStart"/>
      <w:proofErr w:type="gramStart"/>
      <w:r w:rsidRPr="00FA368F">
        <w:rPr>
          <w:rFonts w:ascii="Century Gothic" w:hAnsi="Century Gothic"/>
          <w:sz w:val="21"/>
          <w:szCs w:val="21"/>
        </w:rPr>
        <w:t>t</w:t>
      </w:r>
      <w:r>
        <w:rPr>
          <w:rFonts w:ascii="Century Gothic" w:hAnsi="Century Gothic"/>
          <w:sz w:val="21"/>
          <w:szCs w:val="21"/>
        </w:rPr>
        <w:t>e</w:t>
      </w:r>
      <w:proofErr w:type="spellEnd"/>
      <w:proofErr w:type="gramEnd"/>
      <w:r>
        <w:rPr>
          <w:rFonts w:ascii="Century Gothic" w:hAnsi="Century Gothic"/>
          <w:sz w:val="21"/>
          <w:szCs w:val="21"/>
        </w:rPr>
        <w:t xml:space="preserve"> reo Māori. In </w:t>
      </w:r>
      <w:r w:rsidRPr="00FA368F">
        <w:rPr>
          <w:rFonts w:ascii="Century Gothic" w:hAnsi="Century Gothic"/>
          <w:sz w:val="21"/>
          <w:szCs w:val="21"/>
        </w:rPr>
        <w:t xml:space="preserve">the 2013 census </w:t>
      </w:r>
      <w:r>
        <w:rPr>
          <w:rFonts w:ascii="Century Gothic" w:hAnsi="Century Gothic"/>
          <w:sz w:val="21"/>
          <w:szCs w:val="21"/>
        </w:rPr>
        <w:t xml:space="preserve">only two iwi (out of 120-plus) had a </w:t>
      </w:r>
      <w:r w:rsidRPr="00FA368F">
        <w:rPr>
          <w:rFonts w:ascii="Century Gothic" w:hAnsi="Century Gothic"/>
          <w:sz w:val="21"/>
          <w:szCs w:val="21"/>
        </w:rPr>
        <w:t xml:space="preserve">larger share of </w:t>
      </w:r>
      <w:proofErr w:type="spellStart"/>
      <w:proofErr w:type="gramStart"/>
      <w:r w:rsidRPr="00FA368F">
        <w:rPr>
          <w:rFonts w:ascii="Century Gothic" w:hAnsi="Century Gothic"/>
          <w:sz w:val="21"/>
          <w:szCs w:val="21"/>
        </w:rPr>
        <w:t>te</w:t>
      </w:r>
      <w:proofErr w:type="spellEnd"/>
      <w:proofErr w:type="gramEnd"/>
      <w:r w:rsidRPr="00FA368F">
        <w:rPr>
          <w:rFonts w:ascii="Century Gothic" w:hAnsi="Century Gothic"/>
          <w:sz w:val="21"/>
          <w:szCs w:val="21"/>
        </w:rPr>
        <w:t xml:space="preserve"> reo Māori speakers than </w:t>
      </w:r>
      <w:proofErr w:type="spellStart"/>
      <w:r w:rsidRPr="00FA368F">
        <w:rPr>
          <w:rFonts w:ascii="Century Gothic" w:hAnsi="Century Gothic"/>
          <w:sz w:val="21"/>
          <w:szCs w:val="21"/>
        </w:rPr>
        <w:t>Ng</w:t>
      </w:r>
      <w:r>
        <w:rPr>
          <w:rFonts w:ascii="Century Gothic" w:hAnsi="Century Gothic"/>
          <w:sz w:val="21"/>
          <w:szCs w:val="21"/>
        </w:rPr>
        <w:t>āi</w:t>
      </w:r>
      <w:proofErr w:type="spellEnd"/>
      <w:r>
        <w:rPr>
          <w:rFonts w:ascii="Century Gothic" w:hAnsi="Century Gothic"/>
          <w:sz w:val="21"/>
          <w:szCs w:val="21"/>
        </w:rPr>
        <w:t xml:space="preserve"> </w:t>
      </w:r>
      <w:proofErr w:type="spellStart"/>
      <w:r>
        <w:rPr>
          <w:rFonts w:ascii="Century Gothic" w:hAnsi="Century Gothic"/>
          <w:sz w:val="21"/>
          <w:szCs w:val="21"/>
        </w:rPr>
        <w:t>Tāmanuhiri</w:t>
      </w:r>
      <w:proofErr w:type="spellEnd"/>
      <w:r>
        <w:rPr>
          <w:rFonts w:ascii="Century Gothic" w:hAnsi="Century Gothic"/>
          <w:sz w:val="21"/>
          <w:szCs w:val="21"/>
        </w:rPr>
        <w:t xml:space="preserve">. </w:t>
      </w:r>
      <w:r w:rsidR="006D4D5C">
        <w:rPr>
          <w:rFonts w:ascii="Century Gothic" w:hAnsi="Century Gothic"/>
          <w:sz w:val="21"/>
          <w:szCs w:val="21"/>
        </w:rPr>
        <w:t xml:space="preserve">Those iwi were </w:t>
      </w:r>
      <w:proofErr w:type="spellStart"/>
      <w:r w:rsidR="006D4D5C">
        <w:rPr>
          <w:rFonts w:ascii="Century Gothic" w:hAnsi="Century Gothic"/>
          <w:sz w:val="21"/>
          <w:szCs w:val="21"/>
        </w:rPr>
        <w:t>Ngāti</w:t>
      </w:r>
      <w:proofErr w:type="spellEnd"/>
      <w:r w:rsidR="006D4D5C">
        <w:rPr>
          <w:rFonts w:ascii="Century Gothic" w:hAnsi="Century Gothic"/>
          <w:sz w:val="21"/>
          <w:szCs w:val="21"/>
        </w:rPr>
        <w:t xml:space="preserve"> </w:t>
      </w:r>
      <w:proofErr w:type="spellStart"/>
      <w:proofErr w:type="gramStart"/>
      <w:r w:rsidR="006D4D5C">
        <w:rPr>
          <w:rFonts w:ascii="Century Gothic" w:hAnsi="Century Gothic"/>
          <w:sz w:val="21"/>
          <w:szCs w:val="21"/>
        </w:rPr>
        <w:t>Whare</w:t>
      </w:r>
      <w:proofErr w:type="spellEnd"/>
      <w:r w:rsidR="006D4D5C">
        <w:rPr>
          <w:rFonts w:ascii="Century Gothic" w:hAnsi="Century Gothic"/>
          <w:sz w:val="21"/>
          <w:szCs w:val="21"/>
        </w:rPr>
        <w:t xml:space="preserve">  (</w:t>
      </w:r>
      <w:proofErr w:type="gramEnd"/>
      <w:r w:rsidR="006D4D5C" w:rsidRPr="00877AF2">
        <w:rPr>
          <w:rFonts w:ascii="Century Gothic" w:hAnsi="Century Gothic"/>
          <w:sz w:val="21"/>
          <w:szCs w:val="21"/>
        </w:rPr>
        <w:t xml:space="preserve">43.3 per cent </w:t>
      </w:r>
      <w:proofErr w:type="spellStart"/>
      <w:r w:rsidR="006D4D5C">
        <w:rPr>
          <w:rFonts w:ascii="Century Gothic" w:hAnsi="Century Gothic"/>
          <w:sz w:val="21"/>
          <w:szCs w:val="21"/>
        </w:rPr>
        <w:t>te</w:t>
      </w:r>
      <w:proofErr w:type="spellEnd"/>
      <w:r w:rsidR="006D4D5C">
        <w:rPr>
          <w:rFonts w:ascii="Century Gothic" w:hAnsi="Century Gothic"/>
          <w:sz w:val="21"/>
          <w:szCs w:val="21"/>
        </w:rPr>
        <w:t xml:space="preserve"> reo Māori</w:t>
      </w:r>
      <w:r w:rsidR="006D4D5C" w:rsidRPr="00877AF2">
        <w:rPr>
          <w:rFonts w:ascii="Century Gothic" w:hAnsi="Century Gothic"/>
          <w:sz w:val="21"/>
          <w:szCs w:val="21"/>
        </w:rPr>
        <w:t xml:space="preserve"> speakers</w:t>
      </w:r>
      <w:r w:rsidR="006D4D5C">
        <w:rPr>
          <w:rFonts w:ascii="Century Gothic" w:hAnsi="Century Gothic"/>
          <w:sz w:val="21"/>
          <w:szCs w:val="21"/>
        </w:rPr>
        <w:t>, n=531</w:t>
      </w:r>
      <w:r w:rsidR="006D4D5C" w:rsidRPr="006D4D5C">
        <w:rPr>
          <w:rFonts w:ascii="Century Gothic" w:hAnsi="Century Gothic"/>
          <w:sz w:val="21"/>
          <w:szCs w:val="21"/>
        </w:rPr>
        <w:t xml:space="preserve">) and  </w:t>
      </w:r>
      <w:proofErr w:type="spellStart"/>
      <w:r w:rsidR="006D4D5C" w:rsidRPr="006D4D5C">
        <w:rPr>
          <w:rFonts w:ascii="Century Gothic" w:hAnsi="Century Gothic"/>
          <w:sz w:val="21"/>
          <w:szCs w:val="21"/>
        </w:rPr>
        <w:t>Tarawhai</w:t>
      </w:r>
      <w:proofErr w:type="spellEnd"/>
      <w:r w:rsidR="006D4D5C" w:rsidRPr="006D4D5C">
        <w:rPr>
          <w:rFonts w:ascii="Century Gothic" w:hAnsi="Century Gothic"/>
          <w:sz w:val="21"/>
          <w:szCs w:val="21"/>
        </w:rPr>
        <w:t xml:space="preserve"> (57 per cent, n= 159).</w:t>
      </w:r>
    </w:p>
    <w:p w14:paraId="7A66E68E" w14:textId="77777777" w:rsidR="00711801" w:rsidRPr="00711801" w:rsidRDefault="00711801" w:rsidP="00711801">
      <w:pPr>
        <w:pStyle w:val="ListParagraph"/>
        <w:rPr>
          <w:rFonts w:ascii="Century Gothic" w:hAnsi="Century Gothic"/>
          <w:sz w:val="21"/>
          <w:szCs w:val="21"/>
        </w:rPr>
      </w:pPr>
    </w:p>
    <w:p w14:paraId="4835130E" w14:textId="06792547" w:rsidR="00711801" w:rsidRDefault="00711801" w:rsidP="001304E9">
      <w:pPr>
        <w:pStyle w:val="ListParagraph"/>
        <w:numPr>
          <w:ilvl w:val="0"/>
          <w:numId w:val="20"/>
        </w:numPr>
        <w:spacing w:after="0" w:line="360" w:lineRule="auto"/>
        <w:ind w:left="426" w:hanging="426"/>
        <w:rPr>
          <w:rFonts w:ascii="Century Gothic" w:hAnsi="Century Gothic"/>
          <w:sz w:val="21"/>
          <w:szCs w:val="21"/>
        </w:rPr>
      </w:pPr>
      <w:r w:rsidRPr="004E32B0">
        <w:rPr>
          <w:rFonts w:ascii="Century Gothic" w:hAnsi="Century Gothic"/>
          <w:sz w:val="21"/>
          <w:szCs w:val="21"/>
        </w:rPr>
        <w:t xml:space="preserve">It is useful to compare these distributions with the estimated share of </w:t>
      </w:r>
      <w:proofErr w:type="spellStart"/>
      <w:r w:rsidRPr="004E32B0">
        <w:rPr>
          <w:rFonts w:ascii="Century Gothic" w:hAnsi="Century Gothic"/>
          <w:sz w:val="21"/>
          <w:szCs w:val="21"/>
        </w:rPr>
        <w:t>Ngāi</w:t>
      </w:r>
      <w:proofErr w:type="spellEnd"/>
      <w:r w:rsidRPr="004E32B0">
        <w:rPr>
          <w:rFonts w:ascii="Century Gothic" w:hAnsi="Century Gothic"/>
          <w:sz w:val="21"/>
          <w:szCs w:val="21"/>
        </w:rPr>
        <w:t xml:space="preserve"> </w:t>
      </w:r>
      <w:proofErr w:type="spellStart"/>
      <w:r w:rsidRPr="004E32B0">
        <w:rPr>
          <w:rFonts w:ascii="Century Gothic" w:hAnsi="Century Gothic"/>
          <w:sz w:val="21"/>
          <w:szCs w:val="21"/>
        </w:rPr>
        <w:t>Tāmanuhiri</w:t>
      </w:r>
      <w:proofErr w:type="spellEnd"/>
      <w:r w:rsidRPr="004E32B0">
        <w:rPr>
          <w:rFonts w:ascii="Century Gothic" w:hAnsi="Century Gothic"/>
          <w:sz w:val="21"/>
          <w:szCs w:val="21"/>
        </w:rPr>
        <w:t xml:space="preserve"> </w:t>
      </w:r>
      <w:proofErr w:type="spellStart"/>
      <w:proofErr w:type="gramStart"/>
      <w:r w:rsidRPr="004E32B0">
        <w:rPr>
          <w:rFonts w:ascii="Century Gothic" w:hAnsi="Century Gothic"/>
          <w:sz w:val="21"/>
          <w:szCs w:val="21"/>
        </w:rPr>
        <w:t>te</w:t>
      </w:r>
      <w:proofErr w:type="spellEnd"/>
      <w:proofErr w:type="gramEnd"/>
      <w:r w:rsidRPr="004E32B0">
        <w:rPr>
          <w:rFonts w:ascii="Century Gothic" w:hAnsi="Century Gothic"/>
          <w:sz w:val="21"/>
          <w:szCs w:val="21"/>
        </w:rPr>
        <w:t xml:space="preserve"> reo speakers </w:t>
      </w:r>
      <w:r>
        <w:rPr>
          <w:rFonts w:ascii="Century Gothic" w:hAnsi="Century Gothic"/>
          <w:sz w:val="21"/>
          <w:szCs w:val="21"/>
        </w:rPr>
        <w:t>in</w:t>
      </w:r>
      <w:r w:rsidRPr="004E32B0">
        <w:rPr>
          <w:rFonts w:ascii="Century Gothic" w:hAnsi="Century Gothic"/>
          <w:sz w:val="21"/>
          <w:szCs w:val="21"/>
        </w:rPr>
        <w:t xml:space="preserve"> the </w:t>
      </w:r>
      <w:r w:rsidR="001304E9">
        <w:rPr>
          <w:rFonts w:ascii="Century Gothic" w:hAnsi="Century Gothic"/>
          <w:sz w:val="21"/>
          <w:szCs w:val="21"/>
        </w:rPr>
        <w:t xml:space="preserve">2013 Māori Social Survey, </w:t>
      </w:r>
      <w:proofErr w:type="spellStart"/>
      <w:r w:rsidR="001304E9">
        <w:rPr>
          <w:rFonts w:ascii="Century Gothic" w:hAnsi="Century Gothic"/>
          <w:sz w:val="21"/>
          <w:szCs w:val="21"/>
        </w:rPr>
        <w:t>Te</w:t>
      </w:r>
      <w:proofErr w:type="spellEnd"/>
      <w:r w:rsidR="001304E9">
        <w:rPr>
          <w:rFonts w:ascii="Century Gothic" w:hAnsi="Century Gothic"/>
          <w:sz w:val="21"/>
          <w:szCs w:val="21"/>
        </w:rPr>
        <w:t xml:space="preserve"> </w:t>
      </w:r>
      <w:proofErr w:type="spellStart"/>
      <w:r w:rsidR="001304E9">
        <w:rPr>
          <w:rFonts w:ascii="Century Gothic" w:hAnsi="Century Gothic"/>
          <w:sz w:val="21"/>
          <w:szCs w:val="21"/>
        </w:rPr>
        <w:t>Kupenga</w:t>
      </w:r>
      <w:proofErr w:type="spellEnd"/>
      <w:r w:rsidRPr="004E32B0">
        <w:rPr>
          <w:rFonts w:ascii="Century Gothic" w:hAnsi="Century Gothic"/>
          <w:sz w:val="21"/>
          <w:szCs w:val="21"/>
        </w:rPr>
        <w:t xml:space="preserve">. The number of </w:t>
      </w:r>
      <w:proofErr w:type="spellStart"/>
      <w:r w:rsidRPr="004E32B0">
        <w:rPr>
          <w:rFonts w:ascii="Century Gothic" w:hAnsi="Century Gothic"/>
          <w:sz w:val="21"/>
          <w:szCs w:val="21"/>
        </w:rPr>
        <w:t>Ngāi</w:t>
      </w:r>
      <w:proofErr w:type="spellEnd"/>
      <w:r w:rsidRPr="004E32B0">
        <w:rPr>
          <w:rFonts w:ascii="Century Gothic" w:hAnsi="Century Gothic"/>
          <w:sz w:val="21"/>
          <w:szCs w:val="21"/>
        </w:rPr>
        <w:t xml:space="preserve"> </w:t>
      </w:r>
      <w:proofErr w:type="spellStart"/>
      <w:r w:rsidRPr="004E32B0">
        <w:rPr>
          <w:rFonts w:ascii="Century Gothic" w:hAnsi="Century Gothic"/>
          <w:sz w:val="21"/>
          <w:szCs w:val="21"/>
        </w:rPr>
        <w:t>Tāmanuhiri</w:t>
      </w:r>
      <w:proofErr w:type="spellEnd"/>
      <w:r w:rsidRPr="004E32B0">
        <w:rPr>
          <w:rFonts w:ascii="Century Gothic" w:hAnsi="Century Gothic"/>
          <w:sz w:val="21"/>
          <w:szCs w:val="21"/>
        </w:rPr>
        <w:t xml:space="preserve"> survey respondents was very small, </w:t>
      </w:r>
      <w:r>
        <w:rPr>
          <w:rFonts w:ascii="Century Gothic" w:hAnsi="Century Gothic"/>
          <w:sz w:val="21"/>
          <w:szCs w:val="21"/>
        </w:rPr>
        <w:t>thus</w:t>
      </w:r>
      <w:r w:rsidRPr="004E32B0">
        <w:rPr>
          <w:rFonts w:ascii="Century Gothic" w:hAnsi="Century Gothic"/>
          <w:sz w:val="21"/>
          <w:szCs w:val="21"/>
        </w:rPr>
        <w:t xml:space="preserve"> the results </w:t>
      </w:r>
      <w:r>
        <w:rPr>
          <w:rFonts w:ascii="Century Gothic" w:hAnsi="Century Gothic"/>
          <w:sz w:val="21"/>
          <w:szCs w:val="21"/>
        </w:rPr>
        <w:t>should only be seen as</w:t>
      </w:r>
      <w:r w:rsidRPr="004E32B0">
        <w:rPr>
          <w:rFonts w:ascii="Century Gothic" w:hAnsi="Century Gothic"/>
          <w:sz w:val="21"/>
          <w:szCs w:val="21"/>
        </w:rPr>
        <w:t xml:space="preserve"> indicative.</w:t>
      </w:r>
    </w:p>
    <w:p w14:paraId="3728D13C" w14:textId="77777777" w:rsidR="00711801" w:rsidRPr="004E32B0" w:rsidRDefault="00711801" w:rsidP="00711801">
      <w:pPr>
        <w:pStyle w:val="ListParagraph"/>
        <w:spacing w:line="360" w:lineRule="auto"/>
        <w:rPr>
          <w:rFonts w:ascii="Century Gothic" w:hAnsi="Century Gothic"/>
          <w:sz w:val="21"/>
          <w:szCs w:val="21"/>
        </w:rPr>
      </w:pPr>
    </w:p>
    <w:p w14:paraId="33EFB9C6" w14:textId="084731FF" w:rsidR="00711801" w:rsidRPr="004E32B0" w:rsidRDefault="00711801" w:rsidP="001304E9">
      <w:pPr>
        <w:pStyle w:val="ListParagraph"/>
        <w:numPr>
          <w:ilvl w:val="0"/>
          <w:numId w:val="20"/>
        </w:numPr>
        <w:spacing w:after="0" w:line="360" w:lineRule="auto"/>
        <w:ind w:left="426" w:hanging="426"/>
        <w:rPr>
          <w:rFonts w:ascii="Century Gothic" w:hAnsi="Century Gothic"/>
          <w:sz w:val="21"/>
          <w:szCs w:val="21"/>
        </w:rPr>
      </w:pPr>
      <w:r>
        <w:rPr>
          <w:rFonts w:ascii="Century Gothic" w:hAnsi="Century Gothic"/>
          <w:sz w:val="21"/>
          <w:szCs w:val="21"/>
        </w:rPr>
        <w:t xml:space="preserve">In </w:t>
      </w:r>
      <w:proofErr w:type="spellStart"/>
      <w:r>
        <w:rPr>
          <w:rFonts w:ascii="Century Gothic" w:hAnsi="Century Gothic"/>
          <w:sz w:val="21"/>
          <w:szCs w:val="21"/>
        </w:rPr>
        <w:t>Te</w:t>
      </w:r>
      <w:proofErr w:type="spellEnd"/>
      <w:r>
        <w:rPr>
          <w:rFonts w:ascii="Century Gothic" w:hAnsi="Century Gothic"/>
          <w:sz w:val="21"/>
          <w:szCs w:val="21"/>
        </w:rPr>
        <w:t xml:space="preserve"> </w:t>
      </w:r>
      <w:proofErr w:type="spellStart"/>
      <w:r>
        <w:rPr>
          <w:rFonts w:ascii="Century Gothic" w:hAnsi="Century Gothic"/>
          <w:sz w:val="21"/>
          <w:szCs w:val="21"/>
        </w:rPr>
        <w:t>Kupenga</w:t>
      </w:r>
      <w:proofErr w:type="spellEnd"/>
      <w:r>
        <w:rPr>
          <w:rFonts w:ascii="Century Gothic" w:hAnsi="Century Gothic"/>
          <w:sz w:val="21"/>
          <w:szCs w:val="21"/>
        </w:rPr>
        <w:t xml:space="preserve"> </w:t>
      </w:r>
      <w:r w:rsidRPr="004E32B0">
        <w:rPr>
          <w:rFonts w:ascii="Century Gothic" w:hAnsi="Century Gothic"/>
          <w:sz w:val="21"/>
          <w:szCs w:val="21"/>
        </w:rPr>
        <w:t xml:space="preserve">an </w:t>
      </w:r>
      <w:r w:rsidRPr="00756B20">
        <w:rPr>
          <w:rFonts w:ascii="Century Gothic" w:hAnsi="Century Gothic"/>
          <w:sz w:val="21"/>
          <w:szCs w:val="21"/>
          <w:u w:val="single"/>
        </w:rPr>
        <w:t>estimated</w:t>
      </w:r>
      <w:r w:rsidRPr="004E32B0">
        <w:rPr>
          <w:rFonts w:ascii="Century Gothic" w:hAnsi="Century Gothic"/>
          <w:sz w:val="21"/>
          <w:szCs w:val="21"/>
        </w:rPr>
        <w:t xml:space="preserve"> 22 per cent of </w:t>
      </w:r>
      <w:proofErr w:type="spellStart"/>
      <w:r w:rsidRPr="004E32B0">
        <w:rPr>
          <w:rFonts w:ascii="Century Gothic" w:hAnsi="Century Gothic"/>
          <w:sz w:val="21"/>
          <w:szCs w:val="21"/>
        </w:rPr>
        <w:t>Ngāi</w:t>
      </w:r>
      <w:proofErr w:type="spellEnd"/>
      <w:r w:rsidRPr="004E32B0">
        <w:rPr>
          <w:rFonts w:ascii="Century Gothic" w:hAnsi="Century Gothic"/>
          <w:sz w:val="21"/>
          <w:szCs w:val="21"/>
        </w:rPr>
        <w:t xml:space="preserve"> </w:t>
      </w:r>
      <w:proofErr w:type="spellStart"/>
      <w:r w:rsidRPr="004E32B0">
        <w:rPr>
          <w:rFonts w:ascii="Century Gothic" w:hAnsi="Century Gothic"/>
          <w:sz w:val="21"/>
          <w:szCs w:val="21"/>
        </w:rPr>
        <w:t>Tāmanuhiri</w:t>
      </w:r>
      <w:proofErr w:type="spellEnd"/>
      <w:r w:rsidRPr="004E32B0">
        <w:rPr>
          <w:rFonts w:ascii="Century Gothic" w:hAnsi="Century Gothic"/>
          <w:sz w:val="21"/>
          <w:szCs w:val="21"/>
        </w:rPr>
        <w:t xml:space="preserve"> could speak </w:t>
      </w:r>
      <w:proofErr w:type="spellStart"/>
      <w:r w:rsidRPr="004E32B0">
        <w:rPr>
          <w:rFonts w:ascii="Century Gothic" w:hAnsi="Century Gothic"/>
          <w:sz w:val="21"/>
          <w:szCs w:val="21"/>
        </w:rPr>
        <w:t>te</w:t>
      </w:r>
      <w:proofErr w:type="spellEnd"/>
      <w:r w:rsidRPr="004E32B0">
        <w:rPr>
          <w:rFonts w:ascii="Century Gothic" w:hAnsi="Century Gothic"/>
          <w:sz w:val="21"/>
          <w:szCs w:val="21"/>
        </w:rPr>
        <w:t xml:space="preserve"> reo in a daily conversation very well or well, but the ‘true’ percentage </w:t>
      </w:r>
      <w:r>
        <w:rPr>
          <w:rFonts w:ascii="Century Gothic" w:hAnsi="Century Gothic"/>
          <w:sz w:val="21"/>
          <w:szCs w:val="21"/>
        </w:rPr>
        <w:t>was</w:t>
      </w:r>
      <w:r w:rsidRPr="004E32B0">
        <w:rPr>
          <w:rFonts w:ascii="Century Gothic" w:hAnsi="Century Gothic"/>
          <w:sz w:val="21"/>
          <w:szCs w:val="21"/>
        </w:rPr>
        <w:t xml:space="preserve"> anywhere from 15.9 per cent to 29.3 per cent. </w:t>
      </w:r>
      <w:r>
        <w:rPr>
          <w:rFonts w:ascii="Century Gothic" w:hAnsi="Century Gothic"/>
          <w:sz w:val="21"/>
          <w:szCs w:val="21"/>
        </w:rPr>
        <w:t>If we add</w:t>
      </w:r>
      <w:r w:rsidRPr="004E32B0">
        <w:rPr>
          <w:rFonts w:ascii="Century Gothic" w:hAnsi="Century Gothic"/>
          <w:sz w:val="21"/>
          <w:szCs w:val="21"/>
        </w:rPr>
        <w:t xml:space="preserve"> the ‘very well/well’ and ‘fairly well’ responses together, the estimated share is 41 per cent, which is very close to the share reported in the 2013 census (42.6 per cent).</w:t>
      </w:r>
    </w:p>
    <w:p w14:paraId="2A736F54" w14:textId="77777777" w:rsidR="00711801" w:rsidRPr="005C16A1" w:rsidRDefault="00711801" w:rsidP="005C16A1">
      <w:pPr>
        <w:spacing w:after="0" w:line="360" w:lineRule="auto"/>
        <w:rPr>
          <w:rFonts w:ascii="Century Gothic" w:hAnsi="Century Gothic"/>
          <w:sz w:val="21"/>
          <w:szCs w:val="21"/>
        </w:rPr>
      </w:pPr>
    </w:p>
    <w:p w14:paraId="26053973" w14:textId="77777777" w:rsidR="00CD3482" w:rsidRPr="00FA368F" w:rsidRDefault="00CD3482" w:rsidP="0094760F">
      <w:pPr>
        <w:spacing w:after="0" w:line="360" w:lineRule="auto"/>
        <w:rPr>
          <w:rFonts w:ascii="Century Gothic" w:hAnsi="Century Gothic"/>
          <w:sz w:val="21"/>
          <w:szCs w:val="21"/>
        </w:rPr>
      </w:pPr>
    </w:p>
    <w:p w14:paraId="3179A71A" w14:textId="77777777" w:rsidR="00CD3482" w:rsidRDefault="00CD3482" w:rsidP="0094760F">
      <w:pPr>
        <w:spacing w:line="360" w:lineRule="auto"/>
        <w:rPr>
          <w:rFonts w:ascii="Century Gothic" w:hAnsi="Century Gothic"/>
          <w:sz w:val="21"/>
          <w:szCs w:val="21"/>
          <w:lang w:val="en-US"/>
        </w:rPr>
      </w:pPr>
      <w:r>
        <w:rPr>
          <w:rFonts w:ascii="Century Gothic" w:hAnsi="Century Gothic"/>
          <w:b/>
          <w:bCs/>
          <w:sz w:val="21"/>
          <w:szCs w:val="21"/>
          <w:lang w:val="en-US"/>
        </w:rPr>
        <w:t>Age-sex profile</w:t>
      </w:r>
    </w:p>
    <w:p w14:paraId="230C5E5F" w14:textId="390E0735" w:rsidR="00CD3482" w:rsidRPr="002E0A92" w:rsidRDefault="00CD3482" w:rsidP="0094760F">
      <w:pPr>
        <w:pStyle w:val="ListParagraph"/>
        <w:numPr>
          <w:ilvl w:val="0"/>
          <w:numId w:val="21"/>
        </w:numPr>
        <w:spacing w:line="360" w:lineRule="auto"/>
        <w:ind w:left="426" w:hanging="426"/>
        <w:rPr>
          <w:rFonts w:ascii="Century Gothic" w:hAnsi="Century Gothic"/>
          <w:color w:val="000000" w:themeColor="text1"/>
          <w:sz w:val="21"/>
          <w:szCs w:val="21"/>
          <w:lang w:val="en-US"/>
        </w:rPr>
      </w:pPr>
      <w:r w:rsidRPr="002E0A92">
        <w:rPr>
          <w:rFonts w:ascii="Century Gothic" w:hAnsi="Century Gothic"/>
          <w:bCs/>
          <w:color w:val="000000" w:themeColor="text1"/>
          <w:sz w:val="21"/>
          <w:szCs w:val="21"/>
        </w:rPr>
        <w:t xml:space="preserve">In 2013 </w:t>
      </w:r>
      <w:proofErr w:type="spellStart"/>
      <w:r w:rsidRPr="002E0A92">
        <w:rPr>
          <w:rFonts w:ascii="Century Gothic" w:hAnsi="Century Gothic"/>
          <w:bCs/>
          <w:color w:val="000000" w:themeColor="text1"/>
          <w:sz w:val="21"/>
          <w:szCs w:val="21"/>
        </w:rPr>
        <w:t>Ngāi</w:t>
      </w:r>
      <w:proofErr w:type="spellEnd"/>
      <w:r w:rsidRPr="002E0A92">
        <w:rPr>
          <w:rFonts w:ascii="Century Gothic" w:hAnsi="Century Gothic"/>
          <w:bCs/>
          <w:color w:val="000000" w:themeColor="text1"/>
          <w:sz w:val="21"/>
          <w:szCs w:val="21"/>
        </w:rPr>
        <w:t xml:space="preserve"> </w:t>
      </w:r>
      <w:proofErr w:type="spellStart"/>
      <w:r w:rsidRPr="002E0A92">
        <w:rPr>
          <w:rFonts w:ascii="Century Gothic" w:hAnsi="Century Gothic"/>
          <w:bCs/>
          <w:color w:val="000000" w:themeColor="text1"/>
          <w:sz w:val="21"/>
          <w:szCs w:val="21"/>
        </w:rPr>
        <w:t>Tāmanuhiri</w:t>
      </w:r>
      <w:proofErr w:type="spellEnd"/>
      <w:r w:rsidRPr="002E0A92">
        <w:rPr>
          <w:rFonts w:ascii="Century Gothic" w:hAnsi="Century Gothic"/>
          <w:bCs/>
          <w:color w:val="000000" w:themeColor="text1"/>
          <w:sz w:val="21"/>
          <w:szCs w:val="21"/>
        </w:rPr>
        <w:t xml:space="preserve"> had more females (55</w:t>
      </w:r>
      <w:r w:rsidR="00432EF9">
        <w:rPr>
          <w:rFonts w:ascii="Century Gothic" w:hAnsi="Century Gothic"/>
          <w:bCs/>
          <w:color w:val="000000" w:themeColor="text1"/>
          <w:sz w:val="21"/>
          <w:szCs w:val="21"/>
        </w:rPr>
        <w:t xml:space="preserve"> per cent) versus males (45 per cent). The</w:t>
      </w:r>
      <w:r w:rsidRPr="002E0A92">
        <w:rPr>
          <w:rFonts w:ascii="Century Gothic" w:hAnsi="Century Gothic"/>
          <w:bCs/>
          <w:color w:val="000000" w:themeColor="text1"/>
          <w:sz w:val="21"/>
          <w:szCs w:val="21"/>
        </w:rPr>
        <w:t xml:space="preserve"> gender imbalance was more evident among </w:t>
      </w:r>
      <w:proofErr w:type="spellStart"/>
      <w:proofErr w:type="gramStart"/>
      <w:r w:rsidRPr="002E0A92">
        <w:rPr>
          <w:rFonts w:ascii="Century Gothic" w:hAnsi="Century Gothic"/>
          <w:bCs/>
          <w:color w:val="000000" w:themeColor="text1"/>
          <w:sz w:val="21"/>
          <w:szCs w:val="21"/>
        </w:rPr>
        <w:t>te</w:t>
      </w:r>
      <w:proofErr w:type="spellEnd"/>
      <w:proofErr w:type="gramEnd"/>
      <w:r w:rsidRPr="002E0A92">
        <w:rPr>
          <w:rFonts w:ascii="Century Gothic" w:hAnsi="Century Gothic"/>
          <w:bCs/>
          <w:color w:val="000000" w:themeColor="text1"/>
          <w:sz w:val="21"/>
          <w:szCs w:val="21"/>
        </w:rPr>
        <w:t xml:space="preserve"> reo Māori speakers (57 </w:t>
      </w:r>
      <w:r w:rsidR="00432EF9">
        <w:rPr>
          <w:rFonts w:ascii="Century Gothic" w:hAnsi="Century Gothic"/>
          <w:bCs/>
          <w:color w:val="000000" w:themeColor="text1"/>
          <w:sz w:val="21"/>
          <w:szCs w:val="21"/>
        </w:rPr>
        <w:t xml:space="preserve">females </w:t>
      </w:r>
      <w:r w:rsidRPr="002E0A92">
        <w:rPr>
          <w:rFonts w:ascii="Century Gothic" w:hAnsi="Century Gothic"/>
          <w:bCs/>
          <w:color w:val="000000" w:themeColor="text1"/>
          <w:sz w:val="21"/>
          <w:szCs w:val="21"/>
        </w:rPr>
        <w:t>vs 43 per cent</w:t>
      </w:r>
      <w:r w:rsidR="00432EF9">
        <w:rPr>
          <w:rFonts w:ascii="Century Gothic" w:hAnsi="Century Gothic"/>
          <w:bCs/>
          <w:color w:val="000000" w:themeColor="text1"/>
          <w:sz w:val="21"/>
          <w:szCs w:val="21"/>
        </w:rPr>
        <w:t xml:space="preserve"> males</w:t>
      </w:r>
      <w:r w:rsidRPr="002E0A92">
        <w:rPr>
          <w:rFonts w:ascii="Century Gothic" w:hAnsi="Century Gothic"/>
          <w:bCs/>
          <w:color w:val="000000" w:themeColor="text1"/>
          <w:sz w:val="21"/>
          <w:szCs w:val="21"/>
        </w:rPr>
        <w:t>).</w:t>
      </w:r>
    </w:p>
    <w:p w14:paraId="2C8D38C1" w14:textId="77777777" w:rsidR="00CD3482" w:rsidRPr="002E0A92" w:rsidRDefault="00CD3482" w:rsidP="0094760F">
      <w:pPr>
        <w:pStyle w:val="ListParagraph"/>
        <w:spacing w:line="360" w:lineRule="auto"/>
        <w:ind w:left="426" w:hanging="426"/>
        <w:rPr>
          <w:rFonts w:ascii="Century Gothic" w:hAnsi="Century Gothic"/>
          <w:color w:val="000000" w:themeColor="text1"/>
          <w:sz w:val="21"/>
          <w:szCs w:val="21"/>
          <w:lang w:val="en-US"/>
        </w:rPr>
      </w:pPr>
    </w:p>
    <w:p w14:paraId="40C72093" w14:textId="77777777" w:rsidR="00CD3482" w:rsidRDefault="00CD3482" w:rsidP="0094760F">
      <w:pPr>
        <w:pStyle w:val="ListParagraph"/>
        <w:numPr>
          <w:ilvl w:val="0"/>
          <w:numId w:val="21"/>
        </w:numPr>
        <w:spacing w:after="0" w:line="360" w:lineRule="auto"/>
        <w:ind w:left="426" w:hanging="426"/>
        <w:rPr>
          <w:rFonts w:ascii="Century Gothic" w:hAnsi="Century Gothic"/>
          <w:color w:val="000000" w:themeColor="text1"/>
          <w:sz w:val="21"/>
          <w:szCs w:val="21"/>
        </w:rPr>
      </w:pPr>
      <w:r w:rsidRPr="002E0A92">
        <w:rPr>
          <w:rFonts w:ascii="Century Gothic" w:hAnsi="Century Gothic"/>
          <w:color w:val="000000" w:themeColor="text1"/>
          <w:sz w:val="21"/>
          <w:szCs w:val="21"/>
        </w:rPr>
        <w:t xml:space="preserve">In 2013, 44 per cent of </w:t>
      </w:r>
      <w:proofErr w:type="spellStart"/>
      <w:r w:rsidRPr="002E0A92">
        <w:rPr>
          <w:rFonts w:ascii="Century Gothic" w:hAnsi="Century Gothic"/>
          <w:color w:val="000000" w:themeColor="text1"/>
          <w:sz w:val="21"/>
          <w:szCs w:val="21"/>
        </w:rPr>
        <w:t>Ngāi</w:t>
      </w:r>
      <w:proofErr w:type="spellEnd"/>
      <w:r w:rsidRPr="002E0A92">
        <w:rPr>
          <w:rFonts w:ascii="Century Gothic" w:hAnsi="Century Gothic"/>
          <w:color w:val="000000" w:themeColor="text1"/>
          <w:sz w:val="21"/>
          <w:szCs w:val="21"/>
        </w:rPr>
        <w:t xml:space="preserve"> </w:t>
      </w:r>
      <w:proofErr w:type="spellStart"/>
      <w:r w:rsidRPr="002E0A92">
        <w:rPr>
          <w:rFonts w:ascii="Century Gothic" w:hAnsi="Century Gothic"/>
          <w:color w:val="000000" w:themeColor="text1"/>
          <w:sz w:val="21"/>
          <w:szCs w:val="21"/>
        </w:rPr>
        <w:t>Tāmanuhiri</w:t>
      </w:r>
      <w:proofErr w:type="spellEnd"/>
      <w:r w:rsidRPr="002E0A92">
        <w:rPr>
          <w:rFonts w:ascii="Century Gothic" w:hAnsi="Century Gothic"/>
          <w:color w:val="000000" w:themeColor="text1"/>
          <w:sz w:val="21"/>
          <w:szCs w:val="21"/>
        </w:rPr>
        <w:t xml:space="preserve"> females (n=411) and 41 per cent of males (n=309) could speak </w:t>
      </w:r>
      <w:proofErr w:type="spellStart"/>
      <w:proofErr w:type="gramStart"/>
      <w:r w:rsidRPr="002E0A92">
        <w:rPr>
          <w:rFonts w:ascii="Century Gothic" w:hAnsi="Century Gothic"/>
          <w:color w:val="000000" w:themeColor="text1"/>
          <w:sz w:val="21"/>
          <w:szCs w:val="21"/>
        </w:rPr>
        <w:t>te</w:t>
      </w:r>
      <w:proofErr w:type="spellEnd"/>
      <w:proofErr w:type="gramEnd"/>
      <w:r w:rsidRPr="002E0A92">
        <w:rPr>
          <w:rFonts w:ascii="Century Gothic" w:hAnsi="Century Gothic"/>
          <w:color w:val="000000" w:themeColor="text1"/>
          <w:sz w:val="21"/>
          <w:szCs w:val="21"/>
        </w:rPr>
        <w:t xml:space="preserve"> reo Māori. These shares far exceeded the 19 per cent of </w:t>
      </w:r>
      <w:proofErr w:type="spellStart"/>
      <w:proofErr w:type="gramStart"/>
      <w:r w:rsidRPr="002E0A92">
        <w:rPr>
          <w:rFonts w:ascii="Century Gothic" w:hAnsi="Century Gothic"/>
          <w:color w:val="000000" w:themeColor="text1"/>
          <w:sz w:val="21"/>
          <w:szCs w:val="21"/>
        </w:rPr>
        <w:t>te</w:t>
      </w:r>
      <w:proofErr w:type="spellEnd"/>
      <w:proofErr w:type="gramEnd"/>
      <w:r w:rsidRPr="002E0A92">
        <w:rPr>
          <w:rFonts w:ascii="Century Gothic" w:hAnsi="Century Gothic"/>
          <w:color w:val="000000" w:themeColor="text1"/>
          <w:sz w:val="21"/>
          <w:szCs w:val="21"/>
        </w:rPr>
        <w:t xml:space="preserve"> reo speakers in the Māori descent population. </w:t>
      </w:r>
    </w:p>
    <w:p w14:paraId="64F26B75" w14:textId="77777777" w:rsidR="000073BA" w:rsidRPr="000073BA" w:rsidRDefault="000073BA" w:rsidP="0094760F">
      <w:pPr>
        <w:spacing w:after="0" w:line="360" w:lineRule="auto"/>
        <w:rPr>
          <w:rFonts w:ascii="Century Gothic" w:hAnsi="Century Gothic"/>
          <w:color w:val="000000" w:themeColor="text1"/>
          <w:sz w:val="21"/>
          <w:szCs w:val="21"/>
        </w:rPr>
      </w:pPr>
    </w:p>
    <w:p w14:paraId="63F4AFA0" w14:textId="77777777" w:rsidR="00CD3482" w:rsidRDefault="00CD3482" w:rsidP="0094760F">
      <w:pPr>
        <w:pStyle w:val="ListParagraph"/>
        <w:numPr>
          <w:ilvl w:val="0"/>
          <w:numId w:val="21"/>
        </w:numPr>
        <w:spacing w:after="0" w:line="360" w:lineRule="auto"/>
        <w:ind w:left="426" w:hanging="426"/>
        <w:rPr>
          <w:rFonts w:ascii="Century Gothic" w:hAnsi="Century Gothic"/>
          <w:bCs/>
          <w:color w:val="000000" w:themeColor="text1"/>
          <w:sz w:val="21"/>
          <w:szCs w:val="21"/>
        </w:rPr>
      </w:pPr>
      <w:r w:rsidRPr="009F70F6">
        <w:rPr>
          <w:rFonts w:ascii="Century Gothic" w:hAnsi="Century Gothic"/>
          <w:bCs/>
          <w:color w:val="000000" w:themeColor="text1"/>
          <w:sz w:val="21"/>
          <w:szCs w:val="21"/>
        </w:rPr>
        <w:t xml:space="preserve">The age structure of </w:t>
      </w:r>
      <w:proofErr w:type="spellStart"/>
      <w:proofErr w:type="gramStart"/>
      <w:r w:rsidRPr="009F70F6">
        <w:rPr>
          <w:rFonts w:ascii="Century Gothic" w:hAnsi="Century Gothic"/>
          <w:bCs/>
          <w:color w:val="000000" w:themeColor="text1"/>
          <w:sz w:val="21"/>
          <w:szCs w:val="21"/>
        </w:rPr>
        <w:t>te</w:t>
      </w:r>
      <w:proofErr w:type="spellEnd"/>
      <w:proofErr w:type="gramEnd"/>
      <w:r w:rsidRPr="009F70F6">
        <w:rPr>
          <w:rFonts w:ascii="Century Gothic" w:hAnsi="Century Gothic"/>
          <w:bCs/>
          <w:color w:val="000000" w:themeColor="text1"/>
          <w:sz w:val="21"/>
          <w:szCs w:val="21"/>
        </w:rPr>
        <w:t xml:space="preserve"> reo speakers was similar to </w:t>
      </w:r>
      <w:proofErr w:type="spellStart"/>
      <w:r w:rsidRPr="009F70F6">
        <w:rPr>
          <w:rFonts w:ascii="Century Gothic" w:hAnsi="Century Gothic"/>
          <w:bCs/>
          <w:color w:val="000000" w:themeColor="text1"/>
          <w:sz w:val="21"/>
          <w:szCs w:val="21"/>
        </w:rPr>
        <w:t>Ngāi</w:t>
      </w:r>
      <w:proofErr w:type="spellEnd"/>
      <w:r w:rsidRPr="009F70F6">
        <w:rPr>
          <w:rFonts w:ascii="Century Gothic" w:hAnsi="Century Gothic"/>
          <w:bCs/>
          <w:color w:val="000000" w:themeColor="text1"/>
          <w:sz w:val="21"/>
          <w:szCs w:val="21"/>
        </w:rPr>
        <w:t xml:space="preserve"> </w:t>
      </w:r>
      <w:proofErr w:type="spellStart"/>
      <w:r w:rsidRPr="009F70F6">
        <w:rPr>
          <w:rFonts w:ascii="Century Gothic" w:hAnsi="Century Gothic"/>
          <w:bCs/>
          <w:color w:val="000000" w:themeColor="text1"/>
          <w:sz w:val="21"/>
          <w:szCs w:val="21"/>
        </w:rPr>
        <w:t>Tāmanuhiri</w:t>
      </w:r>
      <w:proofErr w:type="spellEnd"/>
      <w:r w:rsidRPr="009F70F6">
        <w:rPr>
          <w:rFonts w:ascii="Century Gothic" w:hAnsi="Century Gothic"/>
          <w:bCs/>
          <w:color w:val="000000" w:themeColor="text1"/>
          <w:sz w:val="21"/>
          <w:szCs w:val="21"/>
        </w:rPr>
        <w:t xml:space="preserve"> overall, but with a smaller share of </w:t>
      </w:r>
      <w:proofErr w:type="spellStart"/>
      <w:r w:rsidRPr="009F70F6">
        <w:rPr>
          <w:rFonts w:ascii="Century Gothic" w:hAnsi="Century Gothic"/>
          <w:bCs/>
          <w:color w:val="000000" w:themeColor="text1"/>
          <w:sz w:val="21"/>
          <w:szCs w:val="21"/>
        </w:rPr>
        <w:t>tamariki</w:t>
      </w:r>
      <w:proofErr w:type="spellEnd"/>
      <w:r w:rsidRPr="009F70F6">
        <w:rPr>
          <w:rFonts w:ascii="Century Gothic" w:hAnsi="Century Gothic"/>
          <w:bCs/>
          <w:color w:val="000000" w:themeColor="text1"/>
          <w:sz w:val="21"/>
          <w:szCs w:val="21"/>
        </w:rPr>
        <w:t xml:space="preserve"> (0-14 year olds), and a larger share of </w:t>
      </w:r>
      <w:proofErr w:type="spellStart"/>
      <w:r w:rsidRPr="009F70F6">
        <w:rPr>
          <w:rFonts w:ascii="Century Gothic" w:hAnsi="Century Gothic"/>
          <w:bCs/>
          <w:color w:val="000000" w:themeColor="text1"/>
          <w:sz w:val="21"/>
          <w:szCs w:val="21"/>
        </w:rPr>
        <w:t>kaumātua</w:t>
      </w:r>
      <w:proofErr w:type="spellEnd"/>
      <w:r>
        <w:rPr>
          <w:rFonts w:ascii="Century Gothic" w:hAnsi="Century Gothic"/>
          <w:bCs/>
          <w:color w:val="000000" w:themeColor="text1"/>
          <w:sz w:val="21"/>
          <w:szCs w:val="21"/>
        </w:rPr>
        <w:t>.</w:t>
      </w:r>
      <w:r w:rsidRPr="009F70F6">
        <w:rPr>
          <w:rFonts w:ascii="Century Gothic" w:hAnsi="Century Gothic"/>
          <w:bCs/>
          <w:color w:val="000000" w:themeColor="text1"/>
          <w:sz w:val="21"/>
          <w:szCs w:val="21"/>
        </w:rPr>
        <w:t xml:space="preserve"> The broad age group with the largest number of </w:t>
      </w:r>
      <w:proofErr w:type="spellStart"/>
      <w:proofErr w:type="gramStart"/>
      <w:r w:rsidRPr="009F70F6">
        <w:rPr>
          <w:rFonts w:ascii="Century Gothic" w:hAnsi="Century Gothic"/>
          <w:bCs/>
          <w:color w:val="000000" w:themeColor="text1"/>
          <w:sz w:val="21"/>
          <w:szCs w:val="21"/>
        </w:rPr>
        <w:t>te</w:t>
      </w:r>
      <w:proofErr w:type="spellEnd"/>
      <w:proofErr w:type="gramEnd"/>
      <w:r w:rsidRPr="009F70F6">
        <w:rPr>
          <w:rFonts w:ascii="Century Gothic" w:hAnsi="Century Gothic"/>
          <w:bCs/>
          <w:color w:val="000000" w:themeColor="text1"/>
          <w:sz w:val="21"/>
          <w:szCs w:val="21"/>
        </w:rPr>
        <w:t xml:space="preserve"> reo speakers was 25-44 year olds (n=180), followed by </w:t>
      </w:r>
      <w:proofErr w:type="spellStart"/>
      <w:r w:rsidRPr="009F70F6">
        <w:rPr>
          <w:rFonts w:ascii="Century Gothic" w:hAnsi="Century Gothic"/>
          <w:bCs/>
          <w:color w:val="000000" w:themeColor="text1"/>
          <w:sz w:val="21"/>
          <w:szCs w:val="21"/>
        </w:rPr>
        <w:t>tamariki</w:t>
      </w:r>
      <w:proofErr w:type="spellEnd"/>
      <w:r w:rsidRPr="009F70F6">
        <w:rPr>
          <w:rFonts w:ascii="Century Gothic" w:hAnsi="Century Gothic"/>
          <w:bCs/>
          <w:color w:val="000000" w:themeColor="text1"/>
          <w:sz w:val="21"/>
          <w:szCs w:val="21"/>
        </w:rPr>
        <w:t xml:space="preserve"> (n=180) and 45-64 year olds (n=162).</w:t>
      </w:r>
    </w:p>
    <w:p w14:paraId="3D026877" w14:textId="77777777" w:rsidR="00CD3482" w:rsidRPr="009F70F6" w:rsidRDefault="00CD3482" w:rsidP="0094760F">
      <w:pPr>
        <w:spacing w:after="0" w:line="360" w:lineRule="auto"/>
        <w:ind w:left="426" w:hanging="426"/>
        <w:rPr>
          <w:rFonts w:ascii="Century Gothic" w:hAnsi="Century Gothic"/>
          <w:bCs/>
          <w:color w:val="000000" w:themeColor="text1"/>
          <w:sz w:val="21"/>
          <w:szCs w:val="21"/>
        </w:rPr>
      </w:pPr>
    </w:p>
    <w:p w14:paraId="206E60D1" w14:textId="77777777" w:rsidR="00CD3482" w:rsidRDefault="00CD3482" w:rsidP="0094760F">
      <w:pPr>
        <w:pStyle w:val="ListParagraph"/>
        <w:numPr>
          <w:ilvl w:val="0"/>
          <w:numId w:val="21"/>
        </w:numPr>
        <w:spacing w:after="0" w:line="360" w:lineRule="auto"/>
        <w:ind w:left="426" w:hanging="426"/>
        <w:rPr>
          <w:rFonts w:ascii="Century Gothic" w:hAnsi="Century Gothic"/>
          <w:bCs/>
          <w:color w:val="000000" w:themeColor="text1"/>
          <w:sz w:val="21"/>
          <w:szCs w:val="21"/>
        </w:rPr>
      </w:pPr>
      <w:r w:rsidRPr="008D1FF1">
        <w:rPr>
          <w:rFonts w:ascii="Century Gothic" w:hAnsi="Century Gothic"/>
          <w:bCs/>
          <w:color w:val="000000" w:themeColor="text1"/>
          <w:sz w:val="21"/>
          <w:szCs w:val="21"/>
        </w:rPr>
        <w:lastRenderedPageBreak/>
        <w:t xml:space="preserve">Within </w:t>
      </w:r>
      <w:proofErr w:type="spellStart"/>
      <w:r w:rsidRPr="008D1FF1">
        <w:rPr>
          <w:rFonts w:ascii="Century Gothic" w:hAnsi="Century Gothic"/>
          <w:bCs/>
          <w:color w:val="000000" w:themeColor="text1"/>
          <w:sz w:val="21"/>
          <w:szCs w:val="21"/>
        </w:rPr>
        <w:t>Ngāi</w:t>
      </w:r>
      <w:proofErr w:type="spellEnd"/>
      <w:r w:rsidRPr="008D1FF1">
        <w:rPr>
          <w:rFonts w:ascii="Century Gothic" w:hAnsi="Century Gothic"/>
          <w:bCs/>
          <w:color w:val="000000" w:themeColor="text1"/>
          <w:sz w:val="21"/>
          <w:szCs w:val="21"/>
        </w:rPr>
        <w:t xml:space="preserve"> </w:t>
      </w:r>
      <w:proofErr w:type="spellStart"/>
      <w:r w:rsidRPr="008D1FF1">
        <w:rPr>
          <w:rFonts w:ascii="Century Gothic" w:hAnsi="Century Gothic"/>
          <w:bCs/>
          <w:color w:val="000000" w:themeColor="text1"/>
          <w:sz w:val="21"/>
          <w:szCs w:val="21"/>
        </w:rPr>
        <w:t>Tāmanuhiri</w:t>
      </w:r>
      <w:proofErr w:type="spellEnd"/>
      <w:r w:rsidRPr="008D1FF1">
        <w:rPr>
          <w:rFonts w:ascii="Century Gothic" w:hAnsi="Century Gothic"/>
          <w:bCs/>
          <w:color w:val="000000" w:themeColor="text1"/>
          <w:sz w:val="21"/>
          <w:szCs w:val="21"/>
        </w:rPr>
        <w:t xml:space="preserve"> the ability to speak </w:t>
      </w:r>
      <w:proofErr w:type="spellStart"/>
      <w:proofErr w:type="gramStart"/>
      <w:r w:rsidRPr="008D1FF1">
        <w:rPr>
          <w:rFonts w:ascii="Century Gothic" w:hAnsi="Century Gothic"/>
          <w:bCs/>
          <w:color w:val="000000" w:themeColor="text1"/>
          <w:sz w:val="21"/>
          <w:szCs w:val="21"/>
        </w:rPr>
        <w:t>te</w:t>
      </w:r>
      <w:proofErr w:type="spellEnd"/>
      <w:proofErr w:type="gramEnd"/>
      <w:r w:rsidRPr="008D1FF1">
        <w:rPr>
          <w:rFonts w:ascii="Century Gothic" w:hAnsi="Century Gothic"/>
          <w:bCs/>
          <w:color w:val="000000" w:themeColor="text1"/>
          <w:sz w:val="21"/>
          <w:szCs w:val="21"/>
        </w:rPr>
        <w:t xml:space="preserve"> reo Māori generally increased with age and was highest at the oldest ages. </w:t>
      </w:r>
    </w:p>
    <w:p w14:paraId="4585059F" w14:textId="77777777" w:rsidR="00CD3482" w:rsidRPr="008D1FF1" w:rsidRDefault="00CD3482" w:rsidP="0094760F">
      <w:pPr>
        <w:pStyle w:val="ListParagraph"/>
        <w:spacing w:line="360" w:lineRule="auto"/>
        <w:ind w:left="426" w:hanging="426"/>
        <w:rPr>
          <w:rFonts w:ascii="Century Gothic" w:hAnsi="Century Gothic"/>
          <w:bCs/>
          <w:color w:val="000000" w:themeColor="text1"/>
          <w:sz w:val="21"/>
          <w:szCs w:val="21"/>
        </w:rPr>
      </w:pPr>
    </w:p>
    <w:p w14:paraId="7711E5CC" w14:textId="43D57815" w:rsidR="00CD3482" w:rsidRPr="00643C00" w:rsidRDefault="00CD3482" w:rsidP="0094760F">
      <w:pPr>
        <w:pStyle w:val="ListParagraph"/>
        <w:numPr>
          <w:ilvl w:val="0"/>
          <w:numId w:val="21"/>
        </w:numPr>
        <w:spacing w:after="0" w:line="360" w:lineRule="auto"/>
        <w:ind w:left="426" w:hanging="426"/>
        <w:rPr>
          <w:rFonts w:ascii="Century Gothic" w:hAnsi="Century Gothic"/>
          <w:bCs/>
          <w:color w:val="000000" w:themeColor="text1"/>
          <w:sz w:val="21"/>
          <w:szCs w:val="21"/>
        </w:rPr>
      </w:pPr>
      <w:r>
        <w:rPr>
          <w:rFonts w:ascii="Century Gothic" w:hAnsi="Century Gothic"/>
          <w:bCs/>
          <w:color w:val="000000" w:themeColor="text1"/>
          <w:sz w:val="21"/>
          <w:szCs w:val="21"/>
        </w:rPr>
        <w:t xml:space="preserve">Comparing rates from 2001 and 2013 shows that the percentage of </w:t>
      </w:r>
      <w:proofErr w:type="spellStart"/>
      <w:proofErr w:type="gramStart"/>
      <w:r>
        <w:rPr>
          <w:rFonts w:ascii="Century Gothic" w:hAnsi="Century Gothic"/>
          <w:bCs/>
          <w:color w:val="000000" w:themeColor="text1"/>
          <w:sz w:val="21"/>
          <w:szCs w:val="21"/>
        </w:rPr>
        <w:t>te</w:t>
      </w:r>
      <w:proofErr w:type="spellEnd"/>
      <w:proofErr w:type="gramEnd"/>
      <w:r>
        <w:rPr>
          <w:rFonts w:ascii="Century Gothic" w:hAnsi="Century Gothic"/>
          <w:bCs/>
          <w:color w:val="000000" w:themeColor="text1"/>
          <w:sz w:val="21"/>
          <w:szCs w:val="21"/>
        </w:rPr>
        <w:t xml:space="preserve"> reo speakers has declined in every age group except 25-44 year olds. </w:t>
      </w:r>
      <w:r w:rsidRPr="00643C00">
        <w:rPr>
          <w:rFonts w:ascii="Century Gothic" w:hAnsi="Century Gothic"/>
          <w:bCs/>
          <w:color w:val="000000" w:themeColor="text1"/>
          <w:sz w:val="21"/>
          <w:szCs w:val="21"/>
        </w:rPr>
        <w:t xml:space="preserve">The decline has been most marked at older ages. In </w:t>
      </w:r>
      <w:r w:rsidRPr="00643C00">
        <w:rPr>
          <w:rFonts w:ascii="Century Gothic" w:hAnsi="Century Gothic"/>
          <w:sz w:val="21"/>
          <w:szCs w:val="21"/>
        </w:rPr>
        <w:t xml:space="preserve">2001 nearly 90 per cent of </w:t>
      </w:r>
      <w:proofErr w:type="spellStart"/>
      <w:r w:rsidRPr="00643C00">
        <w:rPr>
          <w:rFonts w:ascii="Century Gothic" w:hAnsi="Century Gothic"/>
          <w:sz w:val="21"/>
          <w:szCs w:val="21"/>
        </w:rPr>
        <w:t>Ngāi</w:t>
      </w:r>
      <w:proofErr w:type="spellEnd"/>
      <w:r w:rsidRPr="00643C00">
        <w:rPr>
          <w:rFonts w:ascii="Century Gothic" w:hAnsi="Century Gothic"/>
          <w:sz w:val="21"/>
          <w:szCs w:val="21"/>
        </w:rPr>
        <w:t xml:space="preserve"> </w:t>
      </w:r>
      <w:proofErr w:type="spellStart"/>
      <w:r w:rsidRPr="00643C00">
        <w:rPr>
          <w:rFonts w:ascii="Century Gothic" w:hAnsi="Century Gothic"/>
          <w:sz w:val="21"/>
          <w:szCs w:val="21"/>
        </w:rPr>
        <w:t>Tāmanuhiri</w:t>
      </w:r>
      <w:proofErr w:type="spellEnd"/>
      <w:r w:rsidRPr="00643C00">
        <w:rPr>
          <w:rFonts w:ascii="Century Gothic" w:hAnsi="Century Gothic"/>
          <w:sz w:val="21"/>
          <w:szCs w:val="21"/>
        </w:rPr>
        <w:t xml:space="preserve"> aged 65 years or older could hold a daily conversation in </w:t>
      </w:r>
      <w:proofErr w:type="spellStart"/>
      <w:proofErr w:type="gramStart"/>
      <w:r w:rsidR="00643C00">
        <w:rPr>
          <w:rFonts w:ascii="Century Gothic" w:hAnsi="Century Gothic"/>
          <w:sz w:val="21"/>
          <w:szCs w:val="21"/>
        </w:rPr>
        <w:t>t</w:t>
      </w:r>
      <w:r w:rsidRPr="00643C00">
        <w:rPr>
          <w:rFonts w:ascii="Century Gothic" w:hAnsi="Century Gothic"/>
          <w:sz w:val="21"/>
          <w:szCs w:val="21"/>
        </w:rPr>
        <w:t>e</w:t>
      </w:r>
      <w:proofErr w:type="spellEnd"/>
      <w:proofErr w:type="gramEnd"/>
      <w:r w:rsidRPr="00643C00">
        <w:rPr>
          <w:rFonts w:ascii="Century Gothic" w:hAnsi="Century Gothic"/>
          <w:sz w:val="21"/>
          <w:szCs w:val="21"/>
        </w:rPr>
        <w:t xml:space="preserve"> reo Māori</w:t>
      </w:r>
      <w:r w:rsidR="00487B72">
        <w:rPr>
          <w:rFonts w:ascii="Century Gothic" w:hAnsi="Century Gothic"/>
          <w:sz w:val="21"/>
          <w:szCs w:val="21"/>
        </w:rPr>
        <w:t xml:space="preserve"> (although the number of older people was small)</w:t>
      </w:r>
      <w:r w:rsidRPr="00643C00">
        <w:rPr>
          <w:rFonts w:ascii="Century Gothic" w:hAnsi="Century Gothic"/>
          <w:sz w:val="21"/>
          <w:szCs w:val="21"/>
        </w:rPr>
        <w:t xml:space="preserve">. By 2013 this had dropped to 65 per cent. As older generations of Māori speakers have passed away, they have been succeeded by cohorts with much lower levels of </w:t>
      </w:r>
      <w:proofErr w:type="spellStart"/>
      <w:proofErr w:type="gramStart"/>
      <w:r w:rsidRPr="00643C00">
        <w:rPr>
          <w:rFonts w:ascii="Century Gothic" w:hAnsi="Century Gothic"/>
          <w:sz w:val="21"/>
          <w:szCs w:val="21"/>
        </w:rPr>
        <w:t>te</w:t>
      </w:r>
      <w:proofErr w:type="spellEnd"/>
      <w:proofErr w:type="gramEnd"/>
      <w:r w:rsidRPr="00643C00">
        <w:rPr>
          <w:rFonts w:ascii="Century Gothic" w:hAnsi="Century Gothic"/>
          <w:sz w:val="21"/>
          <w:szCs w:val="21"/>
        </w:rPr>
        <w:t xml:space="preserve"> reo Māori</w:t>
      </w:r>
      <w:r w:rsidR="000073BA">
        <w:rPr>
          <w:rFonts w:ascii="Century Gothic" w:hAnsi="Century Gothic"/>
          <w:sz w:val="21"/>
          <w:szCs w:val="21"/>
        </w:rPr>
        <w:t xml:space="preserve"> proficiency</w:t>
      </w:r>
      <w:r w:rsidRPr="00643C00">
        <w:rPr>
          <w:rFonts w:ascii="Century Gothic" w:hAnsi="Century Gothic"/>
          <w:sz w:val="21"/>
          <w:szCs w:val="21"/>
        </w:rPr>
        <w:t>.</w:t>
      </w:r>
    </w:p>
    <w:p w14:paraId="04A9C99C" w14:textId="77777777" w:rsidR="00CD3482" w:rsidRPr="008D1FF1" w:rsidRDefault="00CD3482" w:rsidP="0094760F">
      <w:pPr>
        <w:pStyle w:val="ListParagraph"/>
        <w:spacing w:line="360" w:lineRule="auto"/>
        <w:ind w:left="426" w:hanging="426"/>
        <w:rPr>
          <w:rFonts w:ascii="Century Gothic" w:hAnsi="Century Gothic"/>
          <w:bCs/>
          <w:color w:val="000000" w:themeColor="text1"/>
          <w:sz w:val="21"/>
          <w:szCs w:val="21"/>
        </w:rPr>
      </w:pPr>
    </w:p>
    <w:p w14:paraId="00A81AF3" w14:textId="744D4C2C" w:rsidR="00CD3482" w:rsidRPr="009F32B0" w:rsidRDefault="00CD3482" w:rsidP="0094760F">
      <w:pPr>
        <w:pStyle w:val="ListParagraph"/>
        <w:numPr>
          <w:ilvl w:val="0"/>
          <w:numId w:val="21"/>
        </w:numPr>
        <w:spacing w:after="0" w:line="360" w:lineRule="auto"/>
        <w:ind w:left="426" w:hanging="426"/>
        <w:rPr>
          <w:rFonts w:ascii="Century Gothic" w:hAnsi="Century Gothic"/>
          <w:bCs/>
          <w:color w:val="000000" w:themeColor="text1"/>
          <w:sz w:val="21"/>
          <w:szCs w:val="21"/>
        </w:rPr>
      </w:pPr>
      <w:r w:rsidRPr="009F32B0">
        <w:rPr>
          <w:rFonts w:ascii="Century Gothic" w:hAnsi="Century Gothic"/>
          <w:color w:val="000000" w:themeColor="text1"/>
          <w:sz w:val="21"/>
          <w:szCs w:val="21"/>
        </w:rPr>
        <w:t xml:space="preserve">Changes in the age-specific </w:t>
      </w:r>
      <w:proofErr w:type="spellStart"/>
      <w:proofErr w:type="gramStart"/>
      <w:r w:rsidRPr="009F32B0">
        <w:rPr>
          <w:rFonts w:ascii="Century Gothic" w:hAnsi="Century Gothic"/>
          <w:color w:val="000000" w:themeColor="text1"/>
          <w:sz w:val="21"/>
          <w:szCs w:val="21"/>
        </w:rPr>
        <w:t>te</w:t>
      </w:r>
      <w:proofErr w:type="spellEnd"/>
      <w:proofErr w:type="gramEnd"/>
      <w:r w:rsidRPr="009F32B0">
        <w:rPr>
          <w:rFonts w:ascii="Century Gothic" w:hAnsi="Century Gothic"/>
          <w:color w:val="000000" w:themeColor="text1"/>
          <w:sz w:val="21"/>
          <w:szCs w:val="21"/>
        </w:rPr>
        <w:t xml:space="preserve"> reo Māori rate are important to understand when developing </w:t>
      </w:r>
      <w:proofErr w:type="spellStart"/>
      <w:r w:rsidRPr="009F32B0">
        <w:rPr>
          <w:rFonts w:ascii="Century Gothic" w:hAnsi="Century Gothic"/>
          <w:color w:val="000000" w:themeColor="text1"/>
          <w:sz w:val="21"/>
          <w:szCs w:val="21"/>
        </w:rPr>
        <w:t>te</w:t>
      </w:r>
      <w:proofErr w:type="spellEnd"/>
      <w:r w:rsidRPr="009F32B0">
        <w:rPr>
          <w:rFonts w:ascii="Century Gothic" w:hAnsi="Century Gothic"/>
          <w:color w:val="000000" w:themeColor="text1"/>
          <w:sz w:val="21"/>
          <w:szCs w:val="21"/>
        </w:rPr>
        <w:t xml:space="preserve"> reo Māori initiatives. The influence of history is important and can have profound impacts on different generations. In the short to medium-term it is highly unlikely that there will be a return to the extraordinarily high rate of </w:t>
      </w:r>
      <w:proofErr w:type="spellStart"/>
      <w:proofErr w:type="gramStart"/>
      <w:r w:rsidRPr="009F32B0">
        <w:rPr>
          <w:rFonts w:ascii="Century Gothic" w:hAnsi="Century Gothic"/>
          <w:color w:val="000000" w:themeColor="text1"/>
          <w:sz w:val="21"/>
          <w:szCs w:val="21"/>
        </w:rPr>
        <w:t>te</w:t>
      </w:r>
      <w:proofErr w:type="spellEnd"/>
      <w:proofErr w:type="gramEnd"/>
      <w:r w:rsidRPr="009F32B0">
        <w:rPr>
          <w:rFonts w:ascii="Century Gothic" w:hAnsi="Century Gothic"/>
          <w:color w:val="000000" w:themeColor="text1"/>
          <w:sz w:val="21"/>
          <w:szCs w:val="21"/>
        </w:rPr>
        <w:t xml:space="preserve"> reo Māori speakers among </w:t>
      </w:r>
      <w:proofErr w:type="spellStart"/>
      <w:r w:rsidRPr="009F32B0">
        <w:rPr>
          <w:rFonts w:ascii="Century Gothic" w:hAnsi="Century Gothic"/>
          <w:color w:val="000000" w:themeColor="text1"/>
          <w:sz w:val="21"/>
          <w:szCs w:val="21"/>
        </w:rPr>
        <w:t>Ngāi</w:t>
      </w:r>
      <w:proofErr w:type="spellEnd"/>
      <w:r w:rsidRPr="009F32B0">
        <w:rPr>
          <w:rFonts w:ascii="Century Gothic" w:hAnsi="Century Gothic"/>
          <w:color w:val="000000" w:themeColor="text1"/>
          <w:sz w:val="21"/>
          <w:szCs w:val="21"/>
        </w:rPr>
        <w:t xml:space="preserve"> </w:t>
      </w:r>
      <w:proofErr w:type="spellStart"/>
      <w:r w:rsidRPr="009F32B0">
        <w:rPr>
          <w:rFonts w:ascii="Century Gothic" w:hAnsi="Century Gothic"/>
          <w:color w:val="000000" w:themeColor="text1"/>
          <w:sz w:val="21"/>
          <w:szCs w:val="21"/>
        </w:rPr>
        <w:t>Tāmanuhiri</w:t>
      </w:r>
      <w:proofErr w:type="spellEnd"/>
      <w:r w:rsidRPr="009F32B0">
        <w:rPr>
          <w:rFonts w:ascii="Century Gothic" w:hAnsi="Century Gothic"/>
          <w:color w:val="000000" w:themeColor="text1"/>
          <w:sz w:val="21"/>
          <w:szCs w:val="21"/>
        </w:rPr>
        <w:t xml:space="preserve"> </w:t>
      </w:r>
      <w:proofErr w:type="spellStart"/>
      <w:r w:rsidRPr="009F32B0">
        <w:rPr>
          <w:rFonts w:ascii="Century Gothic" w:hAnsi="Century Gothic"/>
          <w:color w:val="000000" w:themeColor="text1"/>
          <w:sz w:val="21"/>
          <w:szCs w:val="21"/>
        </w:rPr>
        <w:t>kaumātua</w:t>
      </w:r>
      <w:proofErr w:type="spellEnd"/>
      <w:r w:rsidR="00FE1D7A">
        <w:rPr>
          <w:rFonts w:ascii="Century Gothic" w:hAnsi="Century Gothic"/>
          <w:color w:val="000000" w:themeColor="text1"/>
          <w:sz w:val="21"/>
          <w:szCs w:val="21"/>
        </w:rPr>
        <w:t xml:space="preserve"> and kuia</w:t>
      </w:r>
      <w:r w:rsidRPr="009F32B0">
        <w:rPr>
          <w:rFonts w:ascii="Century Gothic" w:hAnsi="Century Gothic"/>
          <w:color w:val="000000" w:themeColor="text1"/>
          <w:sz w:val="21"/>
          <w:szCs w:val="21"/>
        </w:rPr>
        <w:t>.</w:t>
      </w:r>
    </w:p>
    <w:p w14:paraId="4C1E955F" w14:textId="77777777" w:rsidR="00CD3482" w:rsidRPr="009F32B0" w:rsidRDefault="00CD3482" w:rsidP="0094760F">
      <w:pPr>
        <w:pStyle w:val="ListParagraph"/>
        <w:spacing w:after="0" w:line="360" w:lineRule="auto"/>
        <w:rPr>
          <w:rFonts w:ascii="Century Gothic" w:hAnsi="Century Gothic"/>
          <w:bCs/>
          <w:color w:val="000000" w:themeColor="text1"/>
          <w:sz w:val="21"/>
          <w:szCs w:val="21"/>
        </w:rPr>
      </w:pPr>
    </w:p>
    <w:p w14:paraId="4C554716" w14:textId="77777777" w:rsidR="00CD3482" w:rsidRPr="003C2747" w:rsidRDefault="00CD3482" w:rsidP="0094760F">
      <w:pPr>
        <w:spacing w:line="360" w:lineRule="auto"/>
        <w:rPr>
          <w:rFonts w:ascii="Century Gothic" w:hAnsi="Century Gothic"/>
          <w:b/>
          <w:bCs/>
          <w:color w:val="000000" w:themeColor="text1"/>
          <w:sz w:val="21"/>
          <w:szCs w:val="21"/>
          <w:lang w:val="en-US"/>
        </w:rPr>
      </w:pPr>
      <w:r w:rsidRPr="009F32B0">
        <w:rPr>
          <w:rFonts w:ascii="Century Gothic" w:hAnsi="Century Gothic"/>
          <w:b/>
          <w:bCs/>
          <w:color w:val="000000" w:themeColor="text1"/>
          <w:sz w:val="21"/>
          <w:szCs w:val="21"/>
          <w:lang w:val="en-US"/>
        </w:rPr>
        <w:t xml:space="preserve">Spatial </w:t>
      </w:r>
      <w:r w:rsidRPr="003C2747">
        <w:rPr>
          <w:rFonts w:ascii="Century Gothic" w:hAnsi="Century Gothic"/>
          <w:b/>
          <w:bCs/>
          <w:color w:val="000000" w:themeColor="text1"/>
          <w:sz w:val="21"/>
          <w:szCs w:val="21"/>
          <w:lang w:val="en-US"/>
        </w:rPr>
        <w:t>distribution</w:t>
      </w:r>
    </w:p>
    <w:p w14:paraId="7E94F9AB" w14:textId="6F6CA614" w:rsidR="00CD3482" w:rsidRDefault="00CD3482" w:rsidP="0094760F">
      <w:pPr>
        <w:pStyle w:val="ListParagraph"/>
        <w:numPr>
          <w:ilvl w:val="0"/>
          <w:numId w:val="22"/>
        </w:numPr>
        <w:spacing w:after="0" w:line="360" w:lineRule="auto"/>
        <w:ind w:left="426"/>
        <w:rPr>
          <w:rFonts w:ascii="Century Gothic" w:hAnsi="Century Gothic"/>
          <w:bCs/>
          <w:color w:val="000000" w:themeColor="text1"/>
          <w:sz w:val="21"/>
          <w:szCs w:val="21"/>
        </w:rPr>
      </w:pPr>
      <w:r w:rsidRPr="003C2747">
        <w:rPr>
          <w:rFonts w:ascii="Century Gothic" w:hAnsi="Century Gothic"/>
          <w:bCs/>
          <w:color w:val="000000" w:themeColor="text1"/>
          <w:sz w:val="21"/>
          <w:szCs w:val="21"/>
        </w:rPr>
        <w:t xml:space="preserve">In 2013 just over two fifths of </w:t>
      </w:r>
      <w:proofErr w:type="spellStart"/>
      <w:r w:rsidRPr="003C2747">
        <w:rPr>
          <w:rFonts w:ascii="Century Gothic" w:hAnsi="Century Gothic"/>
          <w:color w:val="000000" w:themeColor="text1"/>
          <w:sz w:val="21"/>
          <w:szCs w:val="21"/>
        </w:rPr>
        <w:t>Ngāi</w:t>
      </w:r>
      <w:proofErr w:type="spellEnd"/>
      <w:r w:rsidRPr="003C2747">
        <w:rPr>
          <w:rFonts w:ascii="Century Gothic" w:hAnsi="Century Gothic"/>
          <w:color w:val="000000" w:themeColor="text1"/>
          <w:sz w:val="21"/>
          <w:szCs w:val="21"/>
        </w:rPr>
        <w:t xml:space="preserve"> </w:t>
      </w:r>
      <w:proofErr w:type="spellStart"/>
      <w:r w:rsidRPr="003C2747">
        <w:rPr>
          <w:rFonts w:ascii="Century Gothic" w:hAnsi="Century Gothic"/>
          <w:color w:val="000000" w:themeColor="text1"/>
          <w:sz w:val="21"/>
          <w:szCs w:val="21"/>
        </w:rPr>
        <w:t>Tāmanuhiri</w:t>
      </w:r>
      <w:proofErr w:type="spellEnd"/>
      <w:r w:rsidRPr="003C2747">
        <w:rPr>
          <w:rFonts w:ascii="Century Gothic" w:hAnsi="Century Gothic"/>
          <w:color w:val="000000" w:themeColor="text1"/>
          <w:sz w:val="21"/>
          <w:szCs w:val="21"/>
        </w:rPr>
        <w:t xml:space="preserve"> </w:t>
      </w:r>
      <w:r w:rsidRPr="003C2747">
        <w:rPr>
          <w:rFonts w:ascii="Century Gothic" w:hAnsi="Century Gothic"/>
          <w:bCs/>
          <w:color w:val="000000" w:themeColor="text1"/>
          <w:sz w:val="21"/>
          <w:szCs w:val="21"/>
        </w:rPr>
        <w:t xml:space="preserve">lived in the </w:t>
      </w:r>
      <w:proofErr w:type="spellStart"/>
      <w:r w:rsidRPr="003C2747">
        <w:rPr>
          <w:rFonts w:ascii="Century Gothic" w:hAnsi="Century Gothic"/>
          <w:bCs/>
          <w:color w:val="000000" w:themeColor="text1"/>
          <w:sz w:val="21"/>
          <w:szCs w:val="21"/>
        </w:rPr>
        <w:t>Gisborne</w:t>
      </w:r>
      <w:proofErr w:type="spellEnd"/>
      <w:r w:rsidRPr="003C2747">
        <w:rPr>
          <w:rFonts w:ascii="Century Gothic" w:hAnsi="Century Gothic"/>
          <w:bCs/>
          <w:color w:val="000000" w:themeColor="text1"/>
          <w:sz w:val="21"/>
          <w:szCs w:val="21"/>
        </w:rPr>
        <w:t xml:space="preserve"> Region (n=714), with further significant clusters in Wellington (n=210), Hawke’s Bay (n=174) and Auckland (n=171). The distribution of </w:t>
      </w:r>
      <w:proofErr w:type="spellStart"/>
      <w:proofErr w:type="gramStart"/>
      <w:r w:rsidRPr="003C2747">
        <w:rPr>
          <w:rFonts w:ascii="Century Gothic" w:hAnsi="Century Gothic"/>
          <w:bCs/>
          <w:color w:val="000000" w:themeColor="text1"/>
          <w:sz w:val="21"/>
          <w:szCs w:val="21"/>
        </w:rPr>
        <w:t>te</w:t>
      </w:r>
      <w:proofErr w:type="spellEnd"/>
      <w:proofErr w:type="gramEnd"/>
      <w:r w:rsidRPr="003C2747">
        <w:rPr>
          <w:rFonts w:ascii="Century Gothic" w:hAnsi="Century Gothic"/>
          <w:bCs/>
          <w:color w:val="000000" w:themeColor="text1"/>
          <w:sz w:val="21"/>
          <w:szCs w:val="21"/>
        </w:rPr>
        <w:t xml:space="preserve"> reo speakers</w:t>
      </w:r>
      <w:r>
        <w:rPr>
          <w:rFonts w:ascii="Century Gothic" w:hAnsi="Century Gothic"/>
          <w:bCs/>
          <w:color w:val="000000" w:themeColor="text1"/>
          <w:sz w:val="21"/>
          <w:szCs w:val="21"/>
        </w:rPr>
        <w:t xml:space="preserve"> was</w:t>
      </w:r>
      <w:r w:rsidRPr="003C2747">
        <w:rPr>
          <w:rFonts w:ascii="Century Gothic" w:hAnsi="Century Gothic"/>
          <w:bCs/>
          <w:color w:val="000000" w:themeColor="text1"/>
          <w:sz w:val="21"/>
          <w:szCs w:val="21"/>
        </w:rPr>
        <w:t xml:space="preserve"> very similar, with a slightly higher share living in </w:t>
      </w:r>
      <w:proofErr w:type="spellStart"/>
      <w:r w:rsidRPr="003C2747">
        <w:rPr>
          <w:rFonts w:ascii="Century Gothic" w:hAnsi="Century Gothic"/>
          <w:bCs/>
          <w:color w:val="000000" w:themeColor="text1"/>
          <w:sz w:val="21"/>
          <w:szCs w:val="21"/>
        </w:rPr>
        <w:t>Gisborne</w:t>
      </w:r>
      <w:proofErr w:type="spellEnd"/>
      <w:r w:rsidRPr="003C2747">
        <w:rPr>
          <w:rFonts w:ascii="Century Gothic" w:hAnsi="Century Gothic"/>
          <w:bCs/>
          <w:color w:val="000000" w:themeColor="text1"/>
          <w:sz w:val="21"/>
          <w:szCs w:val="21"/>
        </w:rPr>
        <w:t xml:space="preserve">, and a slightly lower share in Wellington. </w:t>
      </w:r>
    </w:p>
    <w:p w14:paraId="343B1DCB" w14:textId="77777777" w:rsidR="00CD3482" w:rsidRPr="003C2747" w:rsidRDefault="00CD3482" w:rsidP="0094760F">
      <w:pPr>
        <w:pStyle w:val="ListParagraph"/>
        <w:spacing w:after="0" w:line="360" w:lineRule="auto"/>
        <w:ind w:left="426"/>
        <w:rPr>
          <w:rFonts w:ascii="Century Gothic" w:hAnsi="Century Gothic"/>
          <w:bCs/>
          <w:color w:val="000000" w:themeColor="text1"/>
          <w:sz w:val="21"/>
          <w:szCs w:val="21"/>
        </w:rPr>
      </w:pPr>
    </w:p>
    <w:p w14:paraId="5AF2B436" w14:textId="362C2F0C" w:rsidR="00CD3482" w:rsidRPr="00487B72" w:rsidRDefault="00CD3482" w:rsidP="0094760F">
      <w:pPr>
        <w:pStyle w:val="ListParagraph"/>
        <w:numPr>
          <w:ilvl w:val="0"/>
          <w:numId w:val="22"/>
        </w:numPr>
        <w:spacing w:line="360" w:lineRule="auto"/>
        <w:ind w:left="426"/>
        <w:rPr>
          <w:rFonts w:ascii="Century Gothic" w:hAnsi="Century Gothic"/>
          <w:color w:val="000000" w:themeColor="text1"/>
          <w:sz w:val="21"/>
          <w:szCs w:val="21"/>
          <w:lang w:val="en-US"/>
        </w:rPr>
      </w:pPr>
      <w:r w:rsidRPr="00487B72">
        <w:rPr>
          <w:rFonts w:ascii="Century Gothic" w:hAnsi="Century Gothic"/>
          <w:bCs/>
          <w:color w:val="000000" w:themeColor="text1"/>
          <w:sz w:val="21"/>
          <w:szCs w:val="21"/>
        </w:rPr>
        <w:t xml:space="preserve">The percentage of </w:t>
      </w:r>
      <w:proofErr w:type="spellStart"/>
      <w:r w:rsidRPr="00487B72">
        <w:rPr>
          <w:rFonts w:ascii="Century Gothic" w:hAnsi="Century Gothic"/>
          <w:bCs/>
          <w:color w:val="000000" w:themeColor="text1"/>
          <w:sz w:val="21"/>
          <w:szCs w:val="21"/>
        </w:rPr>
        <w:t>Ngāi</w:t>
      </w:r>
      <w:proofErr w:type="spellEnd"/>
      <w:r w:rsidRPr="00487B72">
        <w:rPr>
          <w:rFonts w:ascii="Century Gothic" w:hAnsi="Century Gothic"/>
          <w:bCs/>
          <w:color w:val="000000" w:themeColor="text1"/>
          <w:sz w:val="21"/>
          <w:szCs w:val="21"/>
        </w:rPr>
        <w:t xml:space="preserve"> </w:t>
      </w:r>
      <w:proofErr w:type="spellStart"/>
      <w:r w:rsidRPr="00487B72">
        <w:rPr>
          <w:rFonts w:ascii="Century Gothic" w:hAnsi="Century Gothic"/>
          <w:bCs/>
          <w:color w:val="000000" w:themeColor="text1"/>
          <w:sz w:val="21"/>
          <w:szCs w:val="21"/>
        </w:rPr>
        <w:t>Tāmanuhiri</w:t>
      </w:r>
      <w:proofErr w:type="spellEnd"/>
      <w:r w:rsidRPr="00487B72">
        <w:rPr>
          <w:rFonts w:ascii="Century Gothic" w:hAnsi="Century Gothic"/>
          <w:bCs/>
          <w:color w:val="000000" w:themeColor="text1"/>
          <w:sz w:val="21"/>
          <w:szCs w:val="21"/>
        </w:rPr>
        <w:t xml:space="preserve"> living within the broad iwi </w:t>
      </w:r>
      <w:proofErr w:type="spellStart"/>
      <w:r w:rsidRPr="00487B72">
        <w:rPr>
          <w:rFonts w:ascii="Century Gothic" w:hAnsi="Century Gothic"/>
          <w:bCs/>
          <w:color w:val="000000" w:themeColor="text1"/>
          <w:sz w:val="21"/>
          <w:szCs w:val="21"/>
        </w:rPr>
        <w:t>rohe</w:t>
      </w:r>
      <w:proofErr w:type="spellEnd"/>
      <w:r w:rsidRPr="00487B72">
        <w:rPr>
          <w:rFonts w:ascii="Century Gothic" w:hAnsi="Century Gothic"/>
          <w:bCs/>
          <w:color w:val="000000" w:themeColor="text1"/>
          <w:sz w:val="21"/>
          <w:szCs w:val="21"/>
        </w:rPr>
        <w:t xml:space="preserve"> is relatively high compared to other iwi. In 2013 only about 15 per cent of all iwi had half or more of their population living within their </w:t>
      </w:r>
      <w:proofErr w:type="spellStart"/>
      <w:r w:rsidRPr="00487B72">
        <w:rPr>
          <w:rFonts w:ascii="Century Gothic" w:hAnsi="Century Gothic"/>
          <w:bCs/>
          <w:color w:val="000000" w:themeColor="text1"/>
          <w:sz w:val="21"/>
          <w:szCs w:val="21"/>
        </w:rPr>
        <w:t>rohe</w:t>
      </w:r>
      <w:proofErr w:type="spellEnd"/>
      <w:r w:rsidRPr="00487B72">
        <w:rPr>
          <w:rFonts w:ascii="Century Gothic" w:hAnsi="Century Gothic"/>
          <w:bCs/>
          <w:color w:val="000000" w:themeColor="text1"/>
          <w:sz w:val="21"/>
          <w:szCs w:val="21"/>
        </w:rPr>
        <w:t>.</w:t>
      </w:r>
    </w:p>
    <w:p w14:paraId="2BF84FB0" w14:textId="77777777" w:rsidR="00CD3482" w:rsidRPr="00487B72" w:rsidRDefault="00CD3482" w:rsidP="0094760F">
      <w:pPr>
        <w:pStyle w:val="ListParagraph"/>
        <w:spacing w:line="360" w:lineRule="auto"/>
        <w:ind w:left="426"/>
        <w:rPr>
          <w:rFonts w:ascii="Century Gothic" w:hAnsi="Century Gothic"/>
          <w:color w:val="000000" w:themeColor="text1"/>
          <w:sz w:val="21"/>
          <w:szCs w:val="21"/>
          <w:lang w:val="en-US"/>
        </w:rPr>
      </w:pPr>
    </w:p>
    <w:p w14:paraId="7015E522" w14:textId="77777777" w:rsidR="00CD3482" w:rsidRPr="00487B72" w:rsidRDefault="00CD3482" w:rsidP="0094760F">
      <w:pPr>
        <w:pStyle w:val="ListParagraph"/>
        <w:numPr>
          <w:ilvl w:val="0"/>
          <w:numId w:val="22"/>
        </w:numPr>
        <w:spacing w:line="360" w:lineRule="auto"/>
        <w:ind w:left="426"/>
        <w:rPr>
          <w:rFonts w:ascii="Century Gothic" w:hAnsi="Century Gothic"/>
          <w:color w:val="000000" w:themeColor="text1"/>
          <w:sz w:val="21"/>
          <w:szCs w:val="21"/>
          <w:lang w:val="en-US"/>
        </w:rPr>
      </w:pPr>
      <w:r w:rsidRPr="00487B72">
        <w:rPr>
          <w:rFonts w:ascii="Century Gothic" w:hAnsi="Century Gothic"/>
          <w:color w:val="000000" w:themeColor="text1"/>
          <w:sz w:val="21"/>
          <w:szCs w:val="21"/>
        </w:rPr>
        <w:t xml:space="preserve">In 2013 </w:t>
      </w:r>
      <w:proofErr w:type="spellStart"/>
      <w:r w:rsidRPr="00487B72">
        <w:rPr>
          <w:rFonts w:ascii="Century Gothic" w:hAnsi="Century Gothic"/>
          <w:color w:val="000000" w:themeColor="text1"/>
          <w:sz w:val="21"/>
          <w:szCs w:val="21"/>
        </w:rPr>
        <w:t>Ngāi</w:t>
      </w:r>
      <w:proofErr w:type="spellEnd"/>
      <w:r w:rsidRPr="00487B72">
        <w:rPr>
          <w:rFonts w:ascii="Century Gothic" w:hAnsi="Century Gothic"/>
          <w:color w:val="000000" w:themeColor="text1"/>
          <w:sz w:val="21"/>
          <w:szCs w:val="21"/>
        </w:rPr>
        <w:t xml:space="preserve"> </w:t>
      </w:r>
      <w:proofErr w:type="spellStart"/>
      <w:r w:rsidRPr="00487B72">
        <w:rPr>
          <w:rFonts w:ascii="Century Gothic" w:hAnsi="Century Gothic"/>
          <w:color w:val="000000" w:themeColor="text1"/>
          <w:sz w:val="21"/>
          <w:szCs w:val="21"/>
        </w:rPr>
        <w:t>Tāmanuhiri</w:t>
      </w:r>
      <w:proofErr w:type="spellEnd"/>
      <w:r w:rsidRPr="00487B72">
        <w:rPr>
          <w:rFonts w:ascii="Century Gothic" w:hAnsi="Century Gothic"/>
          <w:color w:val="000000" w:themeColor="text1"/>
          <w:sz w:val="21"/>
          <w:szCs w:val="21"/>
        </w:rPr>
        <w:t xml:space="preserve"> living in </w:t>
      </w:r>
      <w:proofErr w:type="spellStart"/>
      <w:r w:rsidRPr="00487B72">
        <w:rPr>
          <w:rFonts w:ascii="Century Gothic" w:hAnsi="Century Gothic"/>
          <w:color w:val="000000" w:themeColor="text1"/>
          <w:sz w:val="21"/>
          <w:szCs w:val="21"/>
        </w:rPr>
        <w:t>Gisborne</w:t>
      </w:r>
      <w:proofErr w:type="spellEnd"/>
      <w:r w:rsidRPr="00487B72">
        <w:rPr>
          <w:rFonts w:ascii="Century Gothic" w:hAnsi="Century Gothic"/>
          <w:color w:val="000000" w:themeColor="text1"/>
          <w:sz w:val="21"/>
          <w:szCs w:val="21"/>
        </w:rPr>
        <w:t xml:space="preserve"> were the most likely to be </w:t>
      </w:r>
      <w:proofErr w:type="spellStart"/>
      <w:proofErr w:type="gramStart"/>
      <w:r w:rsidRPr="00487B72">
        <w:rPr>
          <w:rFonts w:ascii="Century Gothic" w:hAnsi="Century Gothic"/>
          <w:color w:val="000000" w:themeColor="text1"/>
          <w:sz w:val="21"/>
          <w:szCs w:val="21"/>
        </w:rPr>
        <w:t>te</w:t>
      </w:r>
      <w:proofErr w:type="spellEnd"/>
      <w:proofErr w:type="gramEnd"/>
      <w:r w:rsidRPr="00487B72">
        <w:rPr>
          <w:rFonts w:ascii="Century Gothic" w:hAnsi="Century Gothic"/>
          <w:color w:val="000000" w:themeColor="text1"/>
          <w:sz w:val="21"/>
          <w:szCs w:val="21"/>
        </w:rPr>
        <w:t xml:space="preserve"> reo Māori speakers (nearly 45 per cent or </w:t>
      </w:r>
      <w:r w:rsidRPr="00487B72">
        <w:rPr>
          <w:rFonts w:ascii="Century Gothic" w:hAnsi="Century Gothic"/>
          <w:color w:val="000000" w:themeColor="text1"/>
          <w:sz w:val="21"/>
          <w:szCs w:val="21"/>
          <w:u w:val="single"/>
        </w:rPr>
        <w:t>312 individuals</w:t>
      </w:r>
      <w:r w:rsidRPr="00487B72">
        <w:rPr>
          <w:rFonts w:ascii="Century Gothic" w:hAnsi="Century Gothic"/>
          <w:color w:val="000000" w:themeColor="text1"/>
          <w:sz w:val="21"/>
          <w:szCs w:val="21"/>
        </w:rPr>
        <w:t>), and those living in the South Island were the least likely (33 per cent).</w:t>
      </w:r>
    </w:p>
    <w:p w14:paraId="13042D29" w14:textId="77777777" w:rsidR="00CD3482" w:rsidRPr="00780696" w:rsidRDefault="00CD3482" w:rsidP="0094760F">
      <w:pPr>
        <w:spacing w:line="360" w:lineRule="auto"/>
        <w:rPr>
          <w:rFonts w:ascii="Century Gothic" w:hAnsi="Century Gothic"/>
          <w:b/>
          <w:bCs/>
          <w:color w:val="000000" w:themeColor="text1"/>
          <w:sz w:val="21"/>
          <w:szCs w:val="21"/>
          <w:lang w:val="en-US" w:eastAsia="en-US"/>
        </w:rPr>
      </w:pPr>
      <w:r w:rsidRPr="00780696">
        <w:rPr>
          <w:rFonts w:ascii="Century Gothic" w:hAnsi="Century Gothic"/>
          <w:b/>
          <w:bCs/>
          <w:color w:val="000000" w:themeColor="text1"/>
          <w:sz w:val="21"/>
          <w:szCs w:val="21"/>
          <w:lang w:val="en-US" w:eastAsia="en-US"/>
        </w:rPr>
        <w:t>Usual residence five years ago</w:t>
      </w:r>
    </w:p>
    <w:p w14:paraId="22452F46" w14:textId="5815BAD8" w:rsidR="00CD3482" w:rsidRPr="00643C00" w:rsidRDefault="00CD3482" w:rsidP="0094760F">
      <w:pPr>
        <w:pStyle w:val="ListParagraph"/>
        <w:numPr>
          <w:ilvl w:val="0"/>
          <w:numId w:val="23"/>
        </w:numPr>
        <w:spacing w:line="360" w:lineRule="auto"/>
        <w:ind w:left="426"/>
        <w:rPr>
          <w:rFonts w:ascii="Century Gothic" w:hAnsi="Century Gothic"/>
          <w:color w:val="000000" w:themeColor="text1"/>
          <w:sz w:val="21"/>
          <w:szCs w:val="21"/>
          <w:lang w:val="en-US" w:eastAsia="en-US"/>
        </w:rPr>
      </w:pPr>
      <w:r w:rsidRPr="00780696">
        <w:rPr>
          <w:rFonts w:ascii="Century Gothic" w:hAnsi="Century Gothic"/>
          <w:color w:val="000000" w:themeColor="text1"/>
          <w:sz w:val="21"/>
          <w:szCs w:val="21"/>
        </w:rPr>
        <w:t xml:space="preserve">In 2006, half of </w:t>
      </w:r>
      <w:proofErr w:type="spellStart"/>
      <w:r w:rsidRPr="00780696">
        <w:rPr>
          <w:rFonts w:ascii="Century Gothic" w:hAnsi="Century Gothic"/>
          <w:color w:val="000000" w:themeColor="text1"/>
          <w:sz w:val="21"/>
          <w:szCs w:val="21"/>
        </w:rPr>
        <w:t>Ngāi</w:t>
      </w:r>
      <w:proofErr w:type="spellEnd"/>
      <w:r w:rsidRPr="00780696">
        <w:rPr>
          <w:rFonts w:ascii="Century Gothic" w:hAnsi="Century Gothic"/>
          <w:color w:val="000000" w:themeColor="text1"/>
          <w:sz w:val="21"/>
          <w:szCs w:val="21"/>
        </w:rPr>
        <w:t xml:space="preserve"> </w:t>
      </w:r>
      <w:proofErr w:type="spellStart"/>
      <w:r w:rsidRPr="00780696">
        <w:rPr>
          <w:rFonts w:ascii="Century Gothic" w:hAnsi="Century Gothic"/>
          <w:color w:val="000000" w:themeColor="text1"/>
          <w:sz w:val="21"/>
          <w:szCs w:val="21"/>
        </w:rPr>
        <w:t>Tāmanuhiri</w:t>
      </w:r>
      <w:proofErr w:type="spellEnd"/>
      <w:r w:rsidRPr="00780696">
        <w:rPr>
          <w:rFonts w:ascii="Century Gothic" w:hAnsi="Century Gothic"/>
          <w:color w:val="000000" w:themeColor="text1"/>
          <w:sz w:val="21"/>
          <w:szCs w:val="21"/>
        </w:rPr>
        <w:t xml:space="preserve"> were residing at a different New Zealand address than at the 2001 census. In 2013 the share of movers within </w:t>
      </w:r>
      <w:proofErr w:type="spellStart"/>
      <w:r w:rsidRPr="00780696">
        <w:rPr>
          <w:rFonts w:ascii="Century Gothic" w:hAnsi="Century Gothic"/>
          <w:color w:val="000000" w:themeColor="text1"/>
          <w:sz w:val="21"/>
          <w:szCs w:val="21"/>
        </w:rPr>
        <w:t>Ngāi</w:t>
      </w:r>
      <w:proofErr w:type="spellEnd"/>
      <w:r w:rsidRPr="00780696">
        <w:rPr>
          <w:rFonts w:ascii="Century Gothic" w:hAnsi="Century Gothic"/>
          <w:color w:val="000000" w:themeColor="text1"/>
          <w:sz w:val="21"/>
          <w:szCs w:val="21"/>
        </w:rPr>
        <w:t xml:space="preserve"> </w:t>
      </w:r>
      <w:proofErr w:type="spellStart"/>
      <w:r w:rsidRPr="00780696">
        <w:rPr>
          <w:rFonts w:ascii="Century Gothic" w:hAnsi="Century Gothic"/>
          <w:color w:val="000000" w:themeColor="text1"/>
          <w:sz w:val="21"/>
          <w:szCs w:val="21"/>
        </w:rPr>
        <w:t>Tāmanuhiri</w:t>
      </w:r>
      <w:proofErr w:type="spellEnd"/>
      <w:r w:rsidRPr="00780696">
        <w:rPr>
          <w:rFonts w:ascii="Century Gothic" w:hAnsi="Century Gothic"/>
          <w:color w:val="000000" w:themeColor="text1"/>
          <w:sz w:val="21"/>
          <w:szCs w:val="21"/>
        </w:rPr>
        <w:t xml:space="preserve"> was much lower, with 43 per cent having moved address within the last five years, declining to just one third among </w:t>
      </w:r>
      <w:proofErr w:type="spellStart"/>
      <w:r w:rsidRPr="00780696">
        <w:rPr>
          <w:rFonts w:ascii="Century Gothic" w:hAnsi="Century Gothic"/>
          <w:color w:val="000000" w:themeColor="text1"/>
          <w:sz w:val="21"/>
          <w:szCs w:val="21"/>
        </w:rPr>
        <w:t>Gisbo</w:t>
      </w:r>
      <w:r w:rsidR="000073BA">
        <w:rPr>
          <w:rFonts w:ascii="Century Gothic" w:hAnsi="Century Gothic"/>
          <w:color w:val="000000" w:themeColor="text1"/>
          <w:sz w:val="21"/>
          <w:szCs w:val="21"/>
        </w:rPr>
        <w:t>r</w:t>
      </w:r>
      <w:r w:rsidRPr="00780696">
        <w:rPr>
          <w:rFonts w:ascii="Century Gothic" w:hAnsi="Century Gothic"/>
          <w:color w:val="000000" w:themeColor="text1"/>
          <w:sz w:val="21"/>
          <w:szCs w:val="21"/>
        </w:rPr>
        <w:t>ne</w:t>
      </w:r>
      <w:proofErr w:type="spellEnd"/>
      <w:r w:rsidRPr="00780696">
        <w:rPr>
          <w:rFonts w:ascii="Century Gothic" w:hAnsi="Century Gothic"/>
          <w:color w:val="000000" w:themeColor="text1"/>
          <w:sz w:val="21"/>
          <w:szCs w:val="21"/>
        </w:rPr>
        <w:t xml:space="preserve"> residents.</w:t>
      </w:r>
    </w:p>
    <w:p w14:paraId="65BE3C0F" w14:textId="77777777" w:rsidR="00643C00" w:rsidRPr="00780696" w:rsidRDefault="00643C00" w:rsidP="0094760F">
      <w:pPr>
        <w:pStyle w:val="ListParagraph"/>
        <w:spacing w:line="360" w:lineRule="auto"/>
        <w:ind w:left="426"/>
        <w:rPr>
          <w:rFonts w:ascii="Century Gothic" w:hAnsi="Century Gothic"/>
          <w:color w:val="000000" w:themeColor="text1"/>
          <w:sz w:val="21"/>
          <w:szCs w:val="21"/>
          <w:lang w:val="en-US" w:eastAsia="en-US"/>
        </w:rPr>
      </w:pPr>
    </w:p>
    <w:p w14:paraId="53335ECE" w14:textId="77777777" w:rsidR="00CD3482" w:rsidRPr="00780696" w:rsidRDefault="00CD3482" w:rsidP="0094760F">
      <w:pPr>
        <w:pStyle w:val="ListParagraph"/>
        <w:numPr>
          <w:ilvl w:val="0"/>
          <w:numId w:val="23"/>
        </w:numPr>
        <w:spacing w:line="360" w:lineRule="auto"/>
        <w:ind w:left="426"/>
        <w:rPr>
          <w:rFonts w:ascii="Century Gothic" w:hAnsi="Century Gothic"/>
          <w:color w:val="000000" w:themeColor="text1"/>
          <w:sz w:val="21"/>
          <w:szCs w:val="21"/>
          <w:lang w:val="en-US" w:eastAsia="en-US"/>
        </w:rPr>
      </w:pPr>
      <w:r w:rsidRPr="00780696">
        <w:rPr>
          <w:rFonts w:ascii="Century Gothic" w:hAnsi="Century Gothic"/>
          <w:color w:val="000000" w:themeColor="text1"/>
          <w:sz w:val="21"/>
          <w:szCs w:val="21"/>
        </w:rPr>
        <w:lastRenderedPageBreak/>
        <w:t xml:space="preserve">In 2013 about 45 per cent of </w:t>
      </w:r>
      <w:proofErr w:type="spellStart"/>
      <w:r w:rsidRPr="00780696">
        <w:rPr>
          <w:rFonts w:ascii="Century Gothic" w:hAnsi="Century Gothic"/>
          <w:bCs/>
          <w:color w:val="000000" w:themeColor="text1"/>
          <w:sz w:val="21"/>
          <w:szCs w:val="21"/>
        </w:rPr>
        <w:t>Ngāi</w:t>
      </w:r>
      <w:proofErr w:type="spellEnd"/>
      <w:r w:rsidRPr="00780696">
        <w:rPr>
          <w:rFonts w:ascii="Century Gothic" w:hAnsi="Century Gothic"/>
          <w:bCs/>
          <w:color w:val="000000" w:themeColor="text1"/>
          <w:sz w:val="21"/>
          <w:szCs w:val="21"/>
        </w:rPr>
        <w:t xml:space="preserve"> </w:t>
      </w:r>
      <w:proofErr w:type="spellStart"/>
      <w:r w:rsidRPr="00780696">
        <w:rPr>
          <w:rFonts w:ascii="Century Gothic" w:hAnsi="Century Gothic"/>
          <w:bCs/>
          <w:color w:val="000000" w:themeColor="text1"/>
          <w:sz w:val="21"/>
          <w:szCs w:val="21"/>
        </w:rPr>
        <w:t>Tāmanuhiri</w:t>
      </w:r>
      <w:proofErr w:type="spellEnd"/>
      <w:r w:rsidRPr="00780696">
        <w:rPr>
          <w:rFonts w:ascii="Century Gothic" w:hAnsi="Century Gothic"/>
          <w:bCs/>
          <w:color w:val="000000" w:themeColor="text1"/>
          <w:sz w:val="21"/>
          <w:szCs w:val="21"/>
        </w:rPr>
        <w:t xml:space="preserve"> </w:t>
      </w:r>
      <w:proofErr w:type="spellStart"/>
      <w:proofErr w:type="gramStart"/>
      <w:r w:rsidRPr="00780696">
        <w:rPr>
          <w:rFonts w:ascii="Century Gothic" w:hAnsi="Century Gothic"/>
          <w:bCs/>
          <w:color w:val="000000" w:themeColor="text1"/>
          <w:sz w:val="21"/>
          <w:szCs w:val="21"/>
        </w:rPr>
        <w:t>te</w:t>
      </w:r>
      <w:proofErr w:type="spellEnd"/>
      <w:proofErr w:type="gramEnd"/>
      <w:r w:rsidRPr="00780696">
        <w:rPr>
          <w:rFonts w:ascii="Century Gothic" w:hAnsi="Century Gothic"/>
          <w:bCs/>
          <w:color w:val="000000" w:themeColor="text1"/>
          <w:sz w:val="21"/>
          <w:szCs w:val="21"/>
        </w:rPr>
        <w:t xml:space="preserve"> reo speakers had moved address in the previous five years. However it was much lower for speakers resident in </w:t>
      </w:r>
      <w:proofErr w:type="spellStart"/>
      <w:r w:rsidRPr="00780696">
        <w:rPr>
          <w:rFonts w:ascii="Century Gothic" w:hAnsi="Century Gothic"/>
          <w:bCs/>
          <w:color w:val="000000" w:themeColor="text1"/>
          <w:sz w:val="21"/>
          <w:szCs w:val="21"/>
        </w:rPr>
        <w:t>Gisborne</w:t>
      </w:r>
      <w:proofErr w:type="spellEnd"/>
      <w:r w:rsidRPr="00780696">
        <w:rPr>
          <w:rFonts w:ascii="Century Gothic" w:hAnsi="Century Gothic"/>
          <w:bCs/>
          <w:color w:val="000000" w:themeColor="text1"/>
          <w:sz w:val="21"/>
          <w:szCs w:val="21"/>
        </w:rPr>
        <w:t xml:space="preserve"> (33.3 per cent).</w:t>
      </w:r>
      <w:r w:rsidRPr="00780696">
        <w:rPr>
          <w:rFonts w:ascii="Century Gothic" w:hAnsi="Century Gothic"/>
          <w:color w:val="000000" w:themeColor="text1"/>
          <w:sz w:val="21"/>
          <w:szCs w:val="21"/>
        </w:rPr>
        <w:t xml:space="preserve"> This means that there is a sizeable ‘core’ stable population of </w:t>
      </w:r>
      <w:proofErr w:type="spellStart"/>
      <w:r w:rsidRPr="00780696">
        <w:rPr>
          <w:rFonts w:ascii="Century Gothic" w:hAnsi="Century Gothic"/>
          <w:color w:val="000000" w:themeColor="text1"/>
          <w:sz w:val="21"/>
          <w:szCs w:val="21"/>
        </w:rPr>
        <w:t>Ngāi</w:t>
      </w:r>
      <w:proofErr w:type="spellEnd"/>
      <w:r w:rsidRPr="00780696">
        <w:rPr>
          <w:rFonts w:ascii="Century Gothic" w:hAnsi="Century Gothic"/>
          <w:color w:val="000000" w:themeColor="text1"/>
          <w:sz w:val="21"/>
          <w:szCs w:val="21"/>
        </w:rPr>
        <w:t xml:space="preserve"> </w:t>
      </w:r>
      <w:proofErr w:type="spellStart"/>
      <w:r w:rsidRPr="00780696">
        <w:rPr>
          <w:rFonts w:ascii="Century Gothic" w:hAnsi="Century Gothic"/>
          <w:color w:val="000000" w:themeColor="text1"/>
          <w:sz w:val="21"/>
          <w:szCs w:val="21"/>
        </w:rPr>
        <w:t>Tāmanuhiri</w:t>
      </w:r>
      <w:proofErr w:type="spellEnd"/>
      <w:r w:rsidRPr="00780696">
        <w:rPr>
          <w:rFonts w:ascii="Century Gothic" w:hAnsi="Century Gothic"/>
          <w:color w:val="000000" w:themeColor="text1"/>
          <w:sz w:val="21"/>
          <w:szCs w:val="21"/>
        </w:rPr>
        <w:t xml:space="preserve"> speakers in </w:t>
      </w:r>
      <w:proofErr w:type="spellStart"/>
      <w:r w:rsidRPr="00780696">
        <w:rPr>
          <w:rFonts w:ascii="Century Gothic" w:hAnsi="Century Gothic"/>
          <w:color w:val="000000" w:themeColor="text1"/>
          <w:sz w:val="21"/>
          <w:szCs w:val="21"/>
        </w:rPr>
        <w:t>Gisborne</w:t>
      </w:r>
      <w:proofErr w:type="spellEnd"/>
      <w:r w:rsidRPr="00780696">
        <w:rPr>
          <w:rFonts w:ascii="Century Gothic" w:hAnsi="Century Gothic"/>
          <w:color w:val="000000" w:themeColor="text1"/>
          <w:sz w:val="21"/>
          <w:szCs w:val="21"/>
        </w:rPr>
        <w:t xml:space="preserve"> that the Trust can work with.</w:t>
      </w:r>
    </w:p>
    <w:p w14:paraId="74C8DE86" w14:textId="77777777" w:rsidR="00CD3482" w:rsidRDefault="00CD3482" w:rsidP="0094760F">
      <w:pPr>
        <w:pStyle w:val="ListParagraph"/>
        <w:spacing w:line="360" w:lineRule="auto"/>
        <w:rPr>
          <w:rFonts w:ascii="Century Gothic" w:hAnsi="Century Gothic"/>
          <w:color w:val="000000" w:themeColor="text1"/>
          <w:sz w:val="21"/>
          <w:szCs w:val="21"/>
          <w:lang w:val="en-US" w:eastAsia="en-US"/>
        </w:rPr>
      </w:pPr>
    </w:p>
    <w:p w14:paraId="17128681" w14:textId="77777777" w:rsidR="00487B72" w:rsidRDefault="00487B72" w:rsidP="0094760F">
      <w:pPr>
        <w:pStyle w:val="ListParagraph"/>
        <w:spacing w:line="360" w:lineRule="auto"/>
        <w:rPr>
          <w:rFonts w:ascii="Century Gothic" w:hAnsi="Century Gothic"/>
          <w:color w:val="000000" w:themeColor="text1"/>
          <w:sz w:val="21"/>
          <w:szCs w:val="21"/>
          <w:lang w:val="en-US" w:eastAsia="en-US"/>
        </w:rPr>
      </w:pPr>
    </w:p>
    <w:p w14:paraId="3CBEC853" w14:textId="77777777" w:rsidR="00487B72" w:rsidRDefault="00487B72" w:rsidP="0094760F">
      <w:pPr>
        <w:pStyle w:val="ListParagraph"/>
        <w:spacing w:line="360" w:lineRule="auto"/>
        <w:rPr>
          <w:rFonts w:ascii="Century Gothic" w:hAnsi="Century Gothic"/>
          <w:color w:val="000000" w:themeColor="text1"/>
          <w:sz w:val="21"/>
          <w:szCs w:val="21"/>
          <w:lang w:val="en-US" w:eastAsia="en-US"/>
        </w:rPr>
      </w:pPr>
    </w:p>
    <w:p w14:paraId="7E17DA3C" w14:textId="77777777" w:rsidR="00487B72" w:rsidRPr="00780696" w:rsidRDefault="00487B72" w:rsidP="0094760F">
      <w:pPr>
        <w:pStyle w:val="ListParagraph"/>
        <w:spacing w:line="360" w:lineRule="auto"/>
        <w:rPr>
          <w:rFonts w:ascii="Century Gothic" w:hAnsi="Century Gothic"/>
          <w:color w:val="000000" w:themeColor="text1"/>
          <w:sz w:val="21"/>
          <w:szCs w:val="21"/>
          <w:lang w:val="en-US" w:eastAsia="en-US"/>
        </w:rPr>
      </w:pPr>
    </w:p>
    <w:p w14:paraId="590DA4C7" w14:textId="77777777" w:rsidR="00CD3482" w:rsidRPr="0085795A" w:rsidRDefault="00CD3482" w:rsidP="0094760F">
      <w:pPr>
        <w:spacing w:line="360" w:lineRule="auto"/>
        <w:rPr>
          <w:rFonts w:ascii="Century Gothic" w:hAnsi="Century Gothic"/>
          <w:b/>
          <w:bCs/>
          <w:sz w:val="21"/>
          <w:szCs w:val="21"/>
          <w:lang w:val="en-US" w:eastAsia="en-US"/>
        </w:rPr>
      </w:pPr>
      <w:r w:rsidRPr="0085795A">
        <w:rPr>
          <w:rFonts w:ascii="Century Gothic" w:hAnsi="Century Gothic"/>
          <w:b/>
          <w:bCs/>
          <w:sz w:val="21"/>
          <w:szCs w:val="21"/>
          <w:lang w:val="en-US" w:eastAsia="en-US"/>
        </w:rPr>
        <w:t>Highest qualification</w:t>
      </w:r>
    </w:p>
    <w:p w14:paraId="7B7747EC" w14:textId="58E1960E" w:rsidR="00CD3482" w:rsidRPr="006825E8" w:rsidRDefault="00CD3482" w:rsidP="0094760F">
      <w:pPr>
        <w:pStyle w:val="ListParagraph"/>
        <w:numPr>
          <w:ilvl w:val="0"/>
          <w:numId w:val="24"/>
        </w:numPr>
        <w:spacing w:line="360" w:lineRule="auto"/>
        <w:ind w:left="426" w:hanging="426"/>
        <w:rPr>
          <w:rFonts w:ascii="Century Gothic" w:hAnsi="Century Gothic"/>
          <w:color w:val="000000" w:themeColor="text1"/>
          <w:sz w:val="21"/>
          <w:szCs w:val="21"/>
          <w:lang w:val="en-US" w:eastAsia="en-US"/>
        </w:rPr>
      </w:pPr>
      <w:r>
        <w:rPr>
          <w:rFonts w:ascii="Century Gothic" w:hAnsi="Century Gothic"/>
          <w:sz w:val="21"/>
          <w:szCs w:val="21"/>
        </w:rPr>
        <w:t xml:space="preserve">The percentage </w:t>
      </w:r>
      <w:r w:rsidRPr="00780696">
        <w:rPr>
          <w:rFonts w:ascii="Century Gothic" w:hAnsi="Century Gothic"/>
          <w:sz w:val="21"/>
          <w:szCs w:val="21"/>
        </w:rPr>
        <w:t xml:space="preserve">of </w:t>
      </w:r>
      <w:proofErr w:type="spellStart"/>
      <w:r w:rsidRPr="00780696">
        <w:rPr>
          <w:rFonts w:ascii="Century Gothic" w:hAnsi="Century Gothic"/>
          <w:sz w:val="21"/>
          <w:szCs w:val="21"/>
        </w:rPr>
        <w:t>Ngā</w:t>
      </w:r>
      <w:r w:rsidR="000073BA">
        <w:rPr>
          <w:rFonts w:ascii="Century Gothic" w:hAnsi="Century Gothic"/>
          <w:sz w:val="21"/>
          <w:szCs w:val="21"/>
        </w:rPr>
        <w:t>i</w:t>
      </w:r>
      <w:proofErr w:type="spellEnd"/>
      <w:r w:rsidR="000073BA">
        <w:rPr>
          <w:rFonts w:ascii="Century Gothic" w:hAnsi="Century Gothic"/>
          <w:sz w:val="21"/>
          <w:szCs w:val="21"/>
        </w:rPr>
        <w:t xml:space="preserve"> </w:t>
      </w:r>
      <w:proofErr w:type="spellStart"/>
      <w:r w:rsidR="000073BA">
        <w:rPr>
          <w:rFonts w:ascii="Century Gothic" w:hAnsi="Century Gothic"/>
          <w:sz w:val="21"/>
          <w:szCs w:val="21"/>
        </w:rPr>
        <w:t>Tāmanuhiri</w:t>
      </w:r>
      <w:proofErr w:type="spellEnd"/>
      <w:r w:rsidR="000073BA">
        <w:rPr>
          <w:rFonts w:ascii="Century Gothic" w:hAnsi="Century Gothic"/>
          <w:sz w:val="21"/>
          <w:szCs w:val="21"/>
        </w:rPr>
        <w:t xml:space="preserve"> adults (15 years or</w:t>
      </w:r>
      <w:r w:rsidRPr="00780696">
        <w:rPr>
          <w:rFonts w:ascii="Century Gothic" w:hAnsi="Century Gothic"/>
          <w:sz w:val="21"/>
          <w:szCs w:val="21"/>
        </w:rPr>
        <w:t xml:space="preserve"> older) without a formal </w:t>
      </w:r>
      <w:r w:rsidRPr="006825E8">
        <w:rPr>
          <w:rFonts w:ascii="Century Gothic" w:hAnsi="Century Gothic"/>
          <w:color w:val="000000" w:themeColor="text1"/>
          <w:sz w:val="21"/>
          <w:szCs w:val="21"/>
        </w:rPr>
        <w:t>qualification has reduced over time, from 28.5 per cent in 2006 to 22.1 per ce</w:t>
      </w:r>
      <w:r>
        <w:rPr>
          <w:rFonts w:ascii="Century Gothic" w:hAnsi="Century Gothic"/>
          <w:color w:val="000000" w:themeColor="text1"/>
          <w:sz w:val="21"/>
          <w:szCs w:val="21"/>
        </w:rPr>
        <w:t>nt in 2013. In both periods the percentage lacking a formal qualification</w:t>
      </w:r>
      <w:r w:rsidRPr="006825E8">
        <w:rPr>
          <w:rFonts w:ascii="Century Gothic" w:hAnsi="Century Gothic"/>
          <w:color w:val="000000" w:themeColor="text1"/>
          <w:sz w:val="21"/>
          <w:szCs w:val="21"/>
        </w:rPr>
        <w:t xml:space="preserve"> was signi</w:t>
      </w:r>
      <w:r>
        <w:rPr>
          <w:rFonts w:ascii="Century Gothic" w:hAnsi="Century Gothic"/>
          <w:color w:val="000000" w:themeColor="text1"/>
          <w:sz w:val="21"/>
          <w:szCs w:val="21"/>
        </w:rPr>
        <w:t xml:space="preserve">ficantly lower than the </w:t>
      </w:r>
      <w:r w:rsidRPr="006825E8">
        <w:rPr>
          <w:rFonts w:ascii="Century Gothic" w:hAnsi="Century Gothic"/>
          <w:color w:val="000000" w:themeColor="text1"/>
          <w:sz w:val="21"/>
          <w:szCs w:val="21"/>
        </w:rPr>
        <w:t>Mā</w:t>
      </w:r>
      <w:r>
        <w:rPr>
          <w:rFonts w:ascii="Century Gothic" w:hAnsi="Century Gothic"/>
          <w:color w:val="000000" w:themeColor="text1"/>
          <w:sz w:val="21"/>
          <w:szCs w:val="21"/>
        </w:rPr>
        <w:t xml:space="preserve">ori descent share </w:t>
      </w:r>
      <w:r w:rsidRPr="006825E8">
        <w:rPr>
          <w:rFonts w:ascii="Century Gothic" w:hAnsi="Century Gothic"/>
          <w:color w:val="000000" w:themeColor="text1"/>
          <w:sz w:val="21"/>
          <w:szCs w:val="21"/>
        </w:rPr>
        <w:t>(31.3 per cent in 2013).</w:t>
      </w:r>
    </w:p>
    <w:p w14:paraId="2A0F1C93" w14:textId="77777777" w:rsidR="00CD3482" w:rsidRPr="003F0D42" w:rsidRDefault="00CD3482" w:rsidP="0094760F">
      <w:pPr>
        <w:pStyle w:val="ListParagraph"/>
        <w:spacing w:line="360" w:lineRule="auto"/>
        <w:ind w:left="426"/>
        <w:rPr>
          <w:rFonts w:ascii="Century Gothic" w:hAnsi="Century Gothic"/>
          <w:color w:val="000000" w:themeColor="text1"/>
          <w:sz w:val="21"/>
          <w:szCs w:val="21"/>
          <w:lang w:eastAsia="en-US"/>
        </w:rPr>
      </w:pPr>
    </w:p>
    <w:p w14:paraId="34A86118" w14:textId="7108E8D6" w:rsidR="00CD3482" w:rsidRPr="000073BA" w:rsidRDefault="00CD3482" w:rsidP="0094760F">
      <w:pPr>
        <w:pStyle w:val="ListParagraph"/>
        <w:numPr>
          <w:ilvl w:val="0"/>
          <w:numId w:val="24"/>
        </w:numPr>
        <w:spacing w:line="360" w:lineRule="auto"/>
        <w:ind w:left="426" w:hanging="426"/>
        <w:rPr>
          <w:rFonts w:ascii="Century Gothic" w:hAnsi="Century Gothic"/>
          <w:color w:val="000000" w:themeColor="text1"/>
          <w:sz w:val="21"/>
          <w:szCs w:val="21"/>
          <w:lang w:val="en-US" w:eastAsia="en-US"/>
        </w:rPr>
      </w:pPr>
      <w:r>
        <w:rPr>
          <w:rFonts w:ascii="Century Gothic" w:hAnsi="Century Gothic"/>
          <w:color w:val="000000" w:themeColor="text1"/>
          <w:sz w:val="21"/>
          <w:szCs w:val="21"/>
        </w:rPr>
        <w:t>In terms of higher education, a</w:t>
      </w:r>
      <w:r w:rsidRPr="006825E8">
        <w:rPr>
          <w:rFonts w:ascii="Century Gothic" w:hAnsi="Century Gothic"/>
          <w:color w:val="000000" w:themeColor="text1"/>
          <w:sz w:val="21"/>
          <w:szCs w:val="21"/>
        </w:rPr>
        <w:t xml:space="preserve">bout one in six (16.9 per cent) </w:t>
      </w:r>
      <w:proofErr w:type="spellStart"/>
      <w:r w:rsidRPr="006825E8">
        <w:rPr>
          <w:rFonts w:ascii="Century Gothic" w:hAnsi="Century Gothic"/>
          <w:color w:val="000000" w:themeColor="text1"/>
          <w:sz w:val="21"/>
          <w:szCs w:val="21"/>
        </w:rPr>
        <w:t>Ngāi</w:t>
      </w:r>
      <w:proofErr w:type="spellEnd"/>
      <w:r w:rsidRPr="006825E8">
        <w:rPr>
          <w:rFonts w:ascii="Century Gothic" w:hAnsi="Century Gothic"/>
          <w:color w:val="000000" w:themeColor="text1"/>
          <w:sz w:val="21"/>
          <w:szCs w:val="21"/>
        </w:rPr>
        <w:t xml:space="preserve"> </w:t>
      </w:r>
      <w:proofErr w:type="spellStart"/>
      <w:r w:rsidRPr="006825E8">
        <w:rPr>
          <w:rFonts w:ascii="Century Gothic" w:hAnsi="Century Gothic"/>
          <w:color w:val="000000" w:themeColor="text1"/>
          <w:sz w:val="21"/>
          <w:szCs w:val="21"/>
        </w:rPr>
        <w:t>Tāmanuhiri</w:t>
      </w:r>
      <w:proofErr w:type="spellEnd"/>
      <w:r w:rsidRPr="006825E8">
        <w:rPr>
          <w:rFonts w:ascii="Century Gothic" w:hAnsi="Century Gothic"/>
          <w:color w:val="000000" w:themeColor="text1"/>
          <w:sz w:val="21"/>
          <w:szCs w:val="21"/>
        </w:rPr>
        <w:t xml:space="preserve"> adults had at least a Bachelor degree (n=186), although the share was lower among those reside</w:t>
      </w:r>
      <w:r w:rsidR="002B6D2A">
        <w:rPr>
          <w:rFonts w:ascii="Century Gothic" w:hAnsi="Century Gothic"/>
          <w:color w:val="000000" w:themeColor="text1"/>
          <w:sz w:val="21"/>
          <w:szCs w:val="21"/>
        </w:rPr>
        <w:t xml:space="preserve">nt in </w:t>
      </w:r>
      <w:proofErr w:type="spellStart"/>
      <w:r w:rsidR="002B6D2A">
        <w:rPr>
          <w:rFonts w:ascii="Century Gothic" w:hAnsi="Century Gothic"/>
          <w:color w:val="000000" w:themeColor="text1"/>
          <w:sz w:val="21"/>
          <w:szCs w:val="21"/>
        </w:rPr>
        <w:t>Gisborne</w:t>
      </w:r>
      <w:proofErr w:type="spellEnd"/>
      <w:r w:rsidR="002B6D2A">
        <w:rPr>
          <w:rFonts w:ascii="Century Gothic" w:hAnsi="Century Gothic"/>
          <w:color w:val="000000" w:themeColor="text1"/>
          <w:sz w:val="21"/>
          <w:szCs w:val="21"/>
        </w:rPr>
        <w:t xml:space="preserve"> (13.7 per cent).</w:t>
      </w:r>
    </w:p>
    <w:p w14:paraId="3AA1AA9D" w14:textId="77777777" w:rsidR="00CD3482" w:rsidRPr="006825E8" w:rsidRDefault="00CD3482" w:rsidP="0094760F">
      <w:pPr>
        <w:pStyle w:val="ListParagraph"/>
        <w:spacing w:line="360" w:lineRule="auto"/>
        <w:ind w:left="426"/>
        <w:rPr>
          <w:rFonts w:ascii="Century Gothic" w:hAnsi="Century Gothic"/>
          <w:color w:val="000000" w:themeColor="text1"/>
          <w:sz w:val="21"/>
          <w:szCs w:val="21"/>
          <w:lang w:val="en-US" w:eastAsia="en-US"/>
        </w:rPr>
      </w:pPr>
    </w:p>
    <w:p w14:paraId="671B1B28" w14:textId="77777777" w:rsidR="00CD3482" w:rsidRPr="003F0D42" w:rsidRDefault="00CD3482" w:rsidP="0094760F">
      <w:pPr>
        <w:pStyle w:val="ListParagraph"/>
        <w:numPr>
          <w:ilvl w:val="0"/>
          <w:numId w:val="24"/>
        </w:numPr>
        <w:spacing w:line="360" w:lineRule="auto"/>
        <w:ind w:left="426" w:hanging="426"/>
        <w:rPr>
          <w:rFonts w:ascii="Century Gothic" w:hAnsi="Century Gothic"/>
          <w:color w:val="000000" w:themeColor="text1"/>
          <w:sz w:val="21"/>
          <w:szCs w:val="21"/>
          <w:lang w:val="en-US" w:eastAsia="en-US"/>
        </w:rPr>
      </w:pPr>
      <w:proofErr w:type="spellStart"/>
      <w:r w:rsidRPr="006825E8">
        <w:rPr>
          <w:rFonts w:ascii="Century Gothic" w:hAnsi="Century Gothic"/>
          <w:color w:val="000000" w:themeColor="text1"/>
          <w:sz w:val="21"/>
          <w:szCs w:val="21"/>
        </w:rPr>
        <w:t>Ngāi</w:t>
      </w:r>
      <w:proofErr w:type="spellEnd"/>
      <w:r w:rsidRPr="006825E8">
        <w:rPr>
          <w:rFonts w:ascii="Century Gothic" w:hAnsi="Century Gothic"/>
          <w:color w:val="000000" w:themeColor="text1"/>
          <w:sz w:val="21"/>
          <w:szCs w:val="21"/>
        </w:rPr>
        <w:t xml:space="preserve"> </w:t>
      </w:r>
      <w:proofErr w:type="spellStart"/>
      <w:r w:rsidRPr="006825E8">
        <w:rPr>
          <w:rFonts w:ascii="Century Gothic" w:hAnsi="Century Gothic"/>
          <w:color w:val="000000" w:themeColor="text1"/>
          <w:sz w:val="21"/>
          <w:szCs w:val="21"/>
        </w:rPr>
        <w:t>Tāmanuhiri</w:t>
      </w:r>
      <w:proofErr w:type="spellEnd"/>
      <w:r w:rsidRPr="006825E8">
        <w:rPr>
          <w:rFonts w:ascii="Century Gothic" w:hAnsi="Century Gothic"/>
          <w:color w:val="000000" w:themeColor="text1"/>
          <w:sz w:val="21"/>
          <w:szCs w:val="21"/>
        </w:rPr>
        <w:t xml:space="preserve"> </w:t>
      </w:r>
      <w:proofErr w:type="spellStart"/>
      <w:proofErr w:type="gramStart"/>
      <w:r w:rsidRPr="006825E8">
        <w:rPr>
          <w:rFonts w:ascii="Century Gothic" w:hAnsi="Century Gothic"/>
          <w:color w:val="000000" w:themeColor="text1"/>
          <w:sz w:val="21"/>
          <w:szCs w:val="21"/>
        </w:rPr>
        <w:t>te</w:t>
      </w:r>
      <w:proofErr w:type="spellEnd"/>
      <w:proofErr w:type="gramEnd"/>
      <w:r w:rsidRPr="006825E8">
        <w:rPr>
          <w:rFonts w:ascii="Century Gothic" w:hAnsi="Century Gothic"/>
          <w:color w:val="000000" w:themeColor="text1"/>
          <w:sz w:val="21"/>
          <w:szCs w:val="21"/>
        </w:rPr>
        <w:t xml:space="preserve"> reo speakers are more highly educated than non-reo speakers. In 2013 more than one fifth of speakers has at least a Bachelor degree (n=111)</w:t>
      </w:r>
      <w:r>
        <w:rPr>
          <w:rFonts w:ascii="Century Gothic" w:hAnsi="Century Gothic"/>
          <w:color w:val="000000" w:themeColor="text1"/>
          <w:sz w:val="21"/>
          <w:szCs w:val="21"/>
        </w:rPr>
        <w:t xml:space="preserve">, </w:t>
      </w:r>
      <w:r w:rsidRPr="003F0D42">
        <w:rPr>
          <w:rFonts w:ascii="Century Gothic" w:hAnsi="Century Gothic"/>
          <w:color w:val="000000" w:themeColor="text1"/>
          <w:sz w:val="21"/>
          <w:szCs w:val="21"/>
        </w:rPr>
        <w:t>which was far higher than the share of university-qualified speakers in the wider Māori descent group (14.1 per cent).</w:t>
      </w:r>
    </w:p>
    <w:p w14:paraId="15EDAA5F" w14:textId="77777777" w:rsidR="00CD3482" w:rsidRPr="003F0D42" w:rsidRDefault="00CD3482" w:rsidP="0094760F">
      <w:pPr>
        <w:pStyle w:val="ListParagraph"/>
        <w:spacing w:line="360" w:lineRule="auto"/>
        <w:rPr>
          <w:rFonts w:ascii="Century Gothic" w:hAnsi="Century Gothic"/>
          <w:color w:val="000000" w:themeColor="text1"/>
          <w:sz w:val="21"/>
          <w:szCs w:val="21"/>
          <w:lang w:val="en-US" w:eastAsia="en-US"/>
        </w:rPr>
      </w:pPr>
    </w:p>
    <w:p w14:paraId="59ADB402" w14:textId="711FD198" w:rsidR="00CD3482" w:rsidRPr="003F0D42" w:rsidRDefault="00CD3482" w:rsidP="0094760F">
      <w:pPr>
        <w:pStyle w:val="ListParagraph"/>
        <w:numPr>
          <w:ilvl w:val="0"/>
          <w:numId w:val="24"/>
        </w:numPr>
        <w:spacing w:line="360" w:lineRule="auto"/>
        <w:ind w:left="426" w:hanging="426"/>
        <w:rPr>
          <w:rFonts w:ascii="Century Gothic" w:hAnsi="Century Gothic"/>
          <w:color w:val="000000" w:themeColor="text1"/>
          <w:sz w:val="21"/>
          <w:szCs w:val="21"/>
          <w:lang w:val="en-US" w:eastAsia="en-US"/>
        </w:rPr>
      </w:pPr>
      <w:r w:rsidRPr="003F0D42">
        <w:rPr>
          <w:rFonts w:ascii="Century Gothic" w:hAnsi="Century Gothic"/>
          <w:color w:val="000000" w:themeColor="text1"/>
          <w:sz w:val="21"/>
          <w:szCs w:val="21"/>
        </w:rPr>
        <w:t>We cannot tell whet</w:t>
      </w:r>
      <w:r>
        <w:rPr>
          <w:rFonts w:ascii="Century Gothic" w:hAnsi="Century Gothic"/>
          <w:color w:val="000000" w:themeColor="text1"/>
          <w:sz w:val="21"/>
          <w:szCs w:val="21"/>
        </w:rPr>
        <w:t xml:space="preserve">her </w:t>
      </w:r>
      <w:proofErr w:type="spellStart"/>
      <w:r>
        <w:rPr>
          <w:rFonts w:ascii="Century Gothic" w:hAnsi="Century Gothic"/>
          <w:color w:val="000000" w:themeColor="text1"/>
          <w:sz w:val="21"/>
          <w:szCs w:val="21"/>
        </w:rPr>
        <w:t>Ngāi</w:t>
      </w:r>
      <w:proofErr w:type="spellEnd"/>
      <w:r>
        <w:rPr>
          <w:rFonts w:ascii="Century Gothic" w:hAnsi="Century Gothic"/>
          <w:color w:val="000000" w:themeColor="text1"/>
          <w:sz w:val="21"/>
          <w:szCs w:val="21"/>
        </w:rPr>
        <w:t xml:space="preserve"> </w:t>
      </w:r>
      <w:proofErr w:type="spellStart"/>
      <w:r>
        <w:rPr>
          <w:rFonts w:ascii="Century Gothic" w:hAnsi="Century Gothic"/>
          <w:color w:val="000000" w:themeColor="text1"/>
          <w:sz w:val="21"/>
          <w:szCs w:val="21"/>
        </w:rPr>
        <w:t>Tāmanuhiri</w:t>
      </w:r>
      <w:proofErr w:type="spellEnd"/>
      <w:r>
        <w:rPr>
          <w:rFonts w:ascii="Century Gothic" w:hAnsi="Century Gothic"/>
          <w:color w:val="000000" w:themeColor="text1"/>
          <w:sz w:val="21"/>
          <w:szCs w:val="21"/>
        </w:rPr>
        <w:t xml:space="preserve"> who </w:t>
      </w:r>
      <w:r w:rsidRPr="003F0D42">
        <w:rPr>
          <w:rFonts w:ascii="Century Gothic" w:hAnsi="Century Gothic"/>
          <w:color w:val="000000" w:themeColor="text1"/>
          <w:sz w:val="21"/>
          <w:szCs w:val="21"/>
        </w:rPr>
        <w:t xml:space="preserve">speak </w:t>
      </w:r>
      <w:proofErr w:type="spellStart"/>
      <w:proofErr w:type="gramStart"/>
      <w:r>
        <w:rPr>
          <w:rFonts w:ascii="Century Gothic" w:hAnsi="Century Gothic"/>
          <w:color w:val="000000" w:themeColor="text1"/>
          <w:sz w:val="21"/>
          <w:szCs w:val="21"/>
        </w:rPr>
        <w:t>t</w:t>
      </w:r>
      <w:r w:rsidRPr="003F0D42">
        <w:rPr>
          <w:rFonts w:ascii="Century Gothic" w:hAnsi="Century Gothic"/>
          <w:color w:val="000000" w:themeColor="text1"/>
          <w:sz w:val="21"/>
          <w:szCs w:val="21"/>
        </w:rPr>
        <w:t>e</w:t>
      </w:r>
      <w:proofErr w:type="spellEnd"/>
      <w:proofErr w:type="gramEnd"/>
      <w:r w:rsidRPr="003F0D42">
        <w:rPr>
          <w:rFonts w:ascii="Century Gothic" w:hAnsi="Century Gothic"/>
          <w:color w:val="000000" w:themeColor="text1"/>
          <w:sz w:val="21"/>
          <w:szCs w:val="21"/>
        </w:rPr>
        <w:t xml:space="preserve"> reo Māori are more likely to obtain a university degree, or whether those who pursue a university education </w:t>
      </w:r>
      <w:r w:rsidR="001B799A">
        <w:rPr>
          <w:rFonts w:ascii="Century Gothic" w:hAnsi="Century Gothic"/>
          <w:color w:val="000000" w:themeColor="text1"/>
          <w:sz w:val="21"/>
          <w:szCs w:val="21"/>
        </w:rPr>
        <w:t xml:space="preserve">acquire </w:t>
      </w:r>
      <w:r w:rsidRPr="003F0D42">
        <w:rPr>
          <w:rFonts w:ascii="Century Gothic" w:hAnsi="Century Gothic"/>
          <w:color w:val="000000" w:themeColor="text1"/>
          <w:sz w:val="21"/>
          <w:szCs w:val="21"/>
        </w:rPr>
        <w:t xml:space="preserve">or improve their </w:t>
      </w:r>
      <w:r w:rsidR="001B799A">
        <w:rPr>
          <w:rFonts w:ascii="Century Gothic" w:hAnsi="Century Gothic"/>
          <w:color w:val="000000" w:themeColor="text1"/>
          <w:sz w:val="21"/>
          <w:szCs w:val="21"/>
        </w:rPr>
        <w:t xml:space="preserve">reo as part of </w:t>
      </w:r>
      <w:r w:rsidRPr="003F0D42">
        <w:rPr>
          <w:rFonts w:ascii="Century Gothic" w:hAnsi="Century Gothic"/>
          <w:color w:val="000000" w:themeColor="text1"/>
          <w:sz w:val="21"/>
          <w:szCs w:val="21"/>
        </w:rPr>
        <w:t>their studies.</w:t>
      </w:r>
      <w:r>
        <w:rPr>
          <w:rFonts w:ascii="Century Gothic" w:hAnsi="Century Gothic"/>
          <w:color w:val="000000" w:themeColor="text1"/>
          <w:sz w:val="21"/>
          <w:szCs w:val="21"/>
        </w:rPr>
        <w:t xml:space="preserve"> Individual-level longitudinal data are required to make that distinction.</w:t>
      </w:r>
    </w:p>
    <w:p w14:paraId="77DFA516" w14:textId="77777777" w:rsidR="00CD3482" w:rsidRPr="003F0D42" w:rsidRDefault="00CD3482" w:rsidP="0094760F">
      <w:pPr>
        <w:pStyle w:val="ListParagraph"/>
        <w:spacing w:line="360" w:lineRule="auto"/>
        <w:ind w:left="426"/>
        <w:rPr>
          <w:rFonts w:ascii="Century Gothic" w:hAnsi="Century Gothic"/>
          <w:color w:val="000000" w:themeColor="text1"/>
          <w:sz w:val="21"/>
          <w:szCs w:val="21"/>
          <w:lang w:eastAsia="en-US"/>
        </w:rPr>
      </w:pPr>
    </w:p>
    <w:p w14:paraId="59CD4091" w14:textId="77777777" w:rsidR="00CD3482" w:rsidRPr="0085795A" w:rsidRDefault="00CD3482" w:rsidP="0094760F">
      <w:pPr>
        <w:spacing w:line="360" w:lineRule="auto"/>
        <w:rPr>
          <w:rFonts w:ascii="Century Gothic" w:hAnsi="Century Gothic"/>
          <w:b/>
          <w:bCs/>
          <w:sz w:val="21"/>
          <w:szCs w:val="21"/>
          <w:lang w:val="en-US" w:eastAsia="en-US"/>
        </w:rPr>
      </w:pPr>
      <w:r w:rsidRPr="0085795A">
        <w:rPr>
          <w:rFonts w:ascii="Century Gothic" w:hAnsi="Century Gothic"/>
          <w:b/>
          <w:bCs/>
          <w:sz w:val="21"/>
          <w:szCs w:val="21"/>
          <w:lang w:val="en-US" w:eastAsia="en-US"/>
        </w:rPr>
        <w:t xml:space="preserve">Work and </w:t>
      </w:r>
      <w:proofErr w:type="spellStart"/>
      <w:r w:rsidRPr="0085795A">
        <w:rPr>
          <w:rFonts w:ascii="Century Gothic" w:hAnsi="Century Gothic"/>
          <w:b/>
          <w:bCs/>
          <w:sz w:val="21"/>
          <w:szCs w:val="21"/>
          <w:lang w:val="en-US" w:eastAsia="en-US"/>
        </w:rPr>
        <w:t>labour</w:t>
      </w:r>
      <w:proofErr w:type="spellEnd"/>
      <w:r w:rsidRPr="0085795A">
        <w:rPr>
          <w:rFonts w:ascii="Century Gothic" w:hAnsi="Century Gothic"/>
          <w:b/>
          <w:bCs/>
          <w:sz w:val="21"/>
          <w:szCs w:val="21"/>
          <w:lang w:val="en-US" w:eastAsia="en-US"/>
        </w:rPr>
        <w:t xml:space="preserve"> force status</w:t>
      </w:r>
    </w:p>
    <w:p w14:paraId="3232D304" w14:textId="77777777" w:rsidR="00CD3482" w:rsidRPr="00842AD5" w:rsidRDefault="00CD3482" w:rsidP="0094760F">
      <w:pPr>
        <w:pStyle w:val="ListParagraph"/>
        <w:numPr>
          <w:ilvl w:val="0"/>
          <w:numId w:val="25"/>
        </w:numPr>
        <w:spacing w:line="360" w:lineRule="auto"/>
        <w:ind w:left="426"/>
        <w:rPr>
          <w:rFonts w:ascii="Century Gothic" w:hAnsi="Century Gothic"/>
          <w:sz w:val="21"/>
          <w:szCs w:val="21"/>
          <w:lang w:val="en-US" w:eastAsia="en-US"/>
        </w:rPr>
      </w:pPr>
      <w:r w:rsidRPr="003F0D42">
        <w:rPr>
          <w:rFonts w:ascii="Century Gothic" w:hAnsi="Century Gothic"/>
          <w:sz w:val="21"/>
          <w:szCs w:val="21"/>
        </w:rPr>
        <w:t xml:space="preserve">In 2013, just </w:t>
      </w:r>
      <w:r>
        <w:rPr>
          <w:rFonts w:ascii="Century Gothic" w:hAnsi="Century Gothic"/>
          <w:sz w:val="21"/>
          <w:szCs w:val="21"/>
        </w:rPr>
        <w:t>over a quarter (27</w:t>
      </w:r>
      <w:r w:rsidRPr="003F0D42">
        <w:rPr>
          <w:rFonts w:ascii="Century Gothic" w:hAnsi="Century Gothic"/>
          <w:sz w:val="21"/>
          <w:szCs w:val="21"/>
        </w:rPr>
        <w:t xml:space="preserve"> per cent) of </w:t>
      </w:r>
      <w:r>
        <w:rPr>
          <w:rFonts w:ascii="Century Gothic" w:hAnsi="Century Gothic"/>
          <w:sz w:val="21"/>
          <w:szCs w:val="21"/>
        </w:rPr>
        <w:t xml:space="preserve">the </w:t>
      </w:r>
      <w:proofErr w:type="spellStart"/>
      <w:r w:rsidRPr="003F0D42">
        <w:rPr>
          <w:rFonts w:ascii="Century Gothic" w:hAnsi="Century Gothic"/>
          <w:sz w:val="21"/>
          <w:szCs w:val="21"/>
        </w:rPr>
        <w:t>Ngāi</w:t>
      </w:r>
      <w:proofErr w:type="spellEnd"/>
      <w:r w:rsidRPr="003F0D42">
        <w:rPr>
          <w:rFonts w:ascii="Century Gothic" w:hAnsi="Century Gothic"/>
          <w:sz w:val="21"/>
          <w:szCs w:val="21"/>
        </w:rPr>
        <w:t xml:space="preserve"> </w:t>
      </w:r>
      <w:proofErr w:type="spellStart"/>
      <w:r w:rsidRPr="003F0D42">
        <w:rPr>
          <w:rFonts w:ascii="Century Gothic" w:hAnsi="Century Gothic"/>
          <w:sz w:val="21"/>
          <w:szCs w:val="21"/>
        </w:rPr>
        <w:t>Tāmanuhiri</w:t>
      </w:r>
      <w:proofErr w:type="spellEnd"/>
      <w:r w:rsidRPr="003F0D42">
        <w:rPr>
          <w:rFonts w:ascii="Century Gothic" w:hAnsi="Century Gothic"/>
          <w:sz w:val="21"/>
          <w:szCs w:val="21"/>
        </w:rPr>
        <w:t xml:space="preserve"> </w:t>
      </w:r>
      <w:r>
        <w:rPr>
          <w:rFonts w:ascii="Century Gothic" w:hAnsi="Century Gothic"/>
          <w:sz w:val="21"/>
          <w:szCs w:val="21"/>
        </w:rPr>
        <w:t xml:space="preserve">working age population (15-64 years) was </w:t>
      </w:r>
      <w:r w:rsidRPr="003F0D42">
        <w:rPr>
          <w:rFonts w:ascii="Century Gothic" w:hAnsi="Century Gothic"/>
          <w:sz w:val="21"/>
          <w:szCs w:val="21"/>
        </w:rPr>
        <w:t>not participating in the labour force</w:t>
      </w:r>
      <w:r>
        <w:rPr>
          <w:rFonts w:ascii="Century Gothic" w:hAnsi="Century Gothic"/>
          <w:sz w:val="21"/>
          <w:szCs w:val="21"/>
        </w:rPr>
        <w:t xml:space="preserve">, with a slightly higher share for those resident in </w:t>
      </w:r>
      <w:proofErr w:type="spellStart"/>
      <w:r>
        <w:rPr>
          <w:rFonts w:ascii="Century Gothic" w:hAnsi="Century Gothic"/>
          <w:sz w:val="21"/>
          <w:szCs w:val="21"/>
        </w:rPr>
        <w:t>Gisborne</w:t>
      </w:r>
      <w:proofErr w:type="spellEnd"/>
      <w:r>
        <w:rPr>
          <w:rFonts w:ascii="Century Gothic" w:hAnsi="Century Gothic"/>
          <w:sz w:val="21"/>
          <w:szCs w:val="21"/>
        </w:rPr>
        <w:t xml:space="preserve">. The labour force participation of </w:t>
      </w:r>
      <w:proofErr w:type="spellStart"/>
      <w:proofErr w:type="gramStart"/>
      <w:r>
        <w:rPr>
          <w:rFonts w:ascii="Century Gothic" w:hAnsi="Century Gothic"/>
          <w:sz w:val="21"/>
          <w:szCs w:val="21"/>
        </w:rPr>
        <w:t>te</w:t>
      </w:r>
      <w:proofErr w:type="spellEnd"/>
      <w:proofErr w:type="gramEnd"/>
      <w:r>
        <w:rPr>
          <w:rFonts w:ascii="Century Gothic" w:hAnsi="Century Gothic"/>
          <w:sz w:val="21"/>
          <w:szCs w:val="21"/>
        </w:rPr>
        <w:t xml:space="preserve"> reo speakers was the same as for the iwi overall.</w:t>
      </w:r>
    </w:p>
    <w:p w14:paraId="62D62036" w14:textId="77777777" w:rsidR="00CD3482" w:rsidRPr="003F0D42" w:rsidRDefault="00CD3482" w:rsidP="0094760F">
      <w:pPr>
        <w:pStyle w:val="ListParagraph"/>
        <w:spacing w:line="360" w:lineRule="auto"/>
        <w:ind w:left="426"/>
        <w:rPr>
          <w:rFonts w:ascii="Century Gothic" w:hAnsi="Century Gothic"/>
          <w:sz w:val="21"/>
          <w:szCs w:val="21"/>
          <w:lang w:val="en-US" w:eastAsia="en-US"/>
        </w:rPr>
      </w:pPr>
    </w:p>
    <w:p w14:paraId="4B9E96B3" w14:textId="1F6739F2" w:rsidR="00CD3482" w:rsidRPr="00842AD5" w:rsidRDefault="00CD3482" w:rsidP="0094760F">
      <w:pPr>
        <w:pStyle w:val="ListParagraph"/>
        <w:numPr>
          <w:ilvl w:val="0"/>
          <w:numId w:val="25"/>
        </w:numPr>
        <w:spacing w:line="360" w:lineRule="auto"/>
        <w:ind w:left="426" w:hanging="426"/>
        <w:rPr>
          <w:rFonts w:ascii="Century Gothic" w:hAnsi="Century Gothic"/>
          <w:sz w:val="21"/>
          <w:szCs w:val="21"/>
          <w:lang w:val="en-US" w:eastAsia="en-US"/>
        </w:rPr>
      </w:pPr>
      <w:r>
        <w:rPr>
          <w:rFonts w:ascii="Century Gothic" w:hAnsi="Century Gothic"/>
          <w:bCs/>
          <w:sz w:val="21"/>
          <w:szCs w:val="21"/>
        </w:rPr>
        <w:t>T</w:t>
      </w:r>
      <w:r w:rsidRPr="00842AD5">
        <w:rPr>
          <w:rFonts w:ascii="Century Gothic" w:hAnsi="Century Gothic"/>
          <w:bCs/>
          <w:sz w:val="21"/>
          <w:szCs w:val="21"/>
        </w:rPr>
        <w:t xml:space="preserve">he employment rate for </w:t>
      </w:r>
      <w:proofErr w:type="spellStart"/>
      <w:r w:rsidRPr="00842AD5">
        <w:rPr>
          <w:rFonts w:ascii="Century Gothic" w:hAnsi="Century Gothic"/>
          <w:bCs/>
          <w:sz w:val="21"/>
          <w:szCs w:val="21"/>
        </w:rPr>
        <w:t>Ngāi</w:t>
      </w:r>
      <w:proofErr w:type="spellEnd"/>
      <w:r w:rsidRPr="00842AD5">
        <w:rPr>
          <w:rFonts w:ascii="Century Gothic" w:hAnsi="Century Gothic"/>
          <w:bCs/>
          <w:sz w:val="21"/>
          <w:szCs w:val="21"/>
        </w:rPr>
        <w:t xml:space="preserve"> </w:t>
      </w:r>
      <w:proofErr w:type="spellStart"/>
      <w:r w:rsidRPr="00842AD5">
        <w:rPr>
          <w:rFonts w:ascii="Century Gothic" w:hAnsi="Century Gothic"/>
          <w:bCs/>
          <w:sz w:val="21"/>
          <w:szCs w:val="21"/>
        </w:rPr>
        <w:t>Tāmanuhiri</w:t>
      </w:r>
      <w:proofErr w:type="spellEnd"/>
      <w:r w:rsidRPr="00842AD5">
        <w:rPr>
          <w:rFonts w:ascii="Century Gothic" w:hAnsi="Century Gothic"/>
          <w:bCs/>
          <w:sz w:val="21"/>
          <w:szCs w:val="21"/>
        </w:rPr>
        <w:t xml:space="preserve"> was 67.6 per cent in 2006, decreasing to 63.8 </w:t>
      </w:r>
      <w:r>
        <w:rPr>
          <w:rFonts w:ascii="Century Gothic" w:hAnsi="Century Gothic"/>
          <w:bCs/>
          <w:sz w:val="21"/>
          <w:szCs w:val="21"/>
        </w:rPr>
        <w:t xml:space="preserve">per cent in 2013. This was </w:t>
      </w:r>
      <w:r w:rsidRPr="00842AD5">
        <w:rPr>
          <w:rFonts w:ascii="Century Gothic" w:hAnsi="Century Gothic"/>
          <w:bCs/>
          <w:sz w:val="21"/>
          <w:szCs w:val="21"/>
        </w:rPr>
        <w:t>slightly higher than the</w:t>
      </w:r>
      <w:r>
        <w:rPr>
          <w:rFonts w:ascii="Century Gothic" w:hAnsi="Century Gothic"/>
          <w:bCs/>
          <w:sz w:val="21"/>
          <w:szCs w:val="21"/>
        </w:rPr>
        <w:t xml:space="preserve"> employed share</w:t>
      </w:r>
      <w:r w:rsidRPr="00842AD5">
        <w:rPr>
          <w:rFonts w:ascii="Century Gothic" w:hAnsi="Century Gothic"/>
          <w:bCs/>
          <w:sz w:val="21"/>
          <w:szCs w:val="21"/>
        </w:rPr>
        <w:t xml:space="preserve"> of the Māori descent </w:t>
      </w:r>
      <w:r w:rsidRPr="00842AD5">
        <w:rPr>
          <w:rFonts w:ascii="Century Gothic" w:hAnsi="Century Gothic"/>
          <w:bCs/>
          <w:sz w:val="21"/>
          <w:szCs w:val="21"/>
        </w:rPr>
        <w:lastRenderedPageBreak/>
        <w:t>p</w:t>
      </w:r>
      <w:r>
        <w:rPr>
          <w:rFonts w:ascii="Century Gothic" w:hAnsi="Century Gothic"/>
          <w:bCs/>
          <w:sz w:val="21"/>
          <w:szCs w:val="21"/>
        </w:rPr>
        <w:t xml:space="preserve">opulation </w:t>
      </w:r>
      <w:r w:rsidRPr="00842AD5">
        <w:rPr>
          <w:rFonts w:ascii="Century Gothic" w:hAnsi="Century Gothic"/>
          <w:bCs/>
          <w:sz w:val="21"/>
          <w:szCs w:val="21"/>
        </w:rPr>
        <w:t>in 2013 (61.8 per cent)</w:t>
      </w:r>
      <w:r w:rsidR="00796654">
        <w:rPr>
          <w:rFonts w:ascii="Century Gothic" w:hAnsi="Century Gothic"/>
          <w:bCs/>
          <w:sz w:val="21"/>
          <w:szCs w:val="21"/>
        </w:rPr>
        <w:t xml:space="preserve"> and </w:t>
      </w:r>
      <w:r>
        <w:rPr>
          <w:rFonts w:ascii="Century Gothic" w:hAnsi="Century Gothic"/>
          <w:bCs/>
          <w:sz w:val="21"/>
          <w:szCs w:val="21"/>
        </w:rPr>
        <w:t xml:space="preserve">significantly higher than the employment rate for </w:t>
      </w:r>
      <w:proofErr w:type="spellStart"/>
      <w:r w:rsidRPr="00842AD5">
        <w:rPr>
          <w:rFonts w:ascii="Century Gothic" w:hAnsi="Century Gothic"/>
          <w:bCs/>
          <w:sz w:val="21"/>
          <w:szCs w:val="21"/>
        </w:rPr>
        <w:t>Ngāi</w:t>
      </w:r>
      <w:proofErr w:type="spellEnd"/>
      <w:r w:rsidRPr="00842AD5">
        <w:rPr>
          <w:rFonts w:ascii="Century Gothic" w:hAnsi="Century Gothic"/>
          <w:bCs/>
          <w:sz w:val="21"/>
          <w:szCs w:val="21"/>
        </w:rPr>
        <w:t xml:space="preserve"> </w:t>
      </w:r>
      <w:proofErr w:type="spellStart"/>
      <w:r w:rsidRPr="00842AD5">
        <w:rPr>
          <w:rFonts w:ascii="Century Gothic" w:hAnsi="Century Gothic"/>
          <w:bCs/>
          <w:sz w:val="21"/>
          <w:szCs w:val="21"/>
        </w:rPr>
        <w:t>Tāmanuhiri</w:t>
      </w:r>
      <w:proofErr w:type="spellEnd"/>
      <w:r w:rsidRPr="00842AD5">
        <w:rPr>
          <w:rFonts w:ascii="Century Gothic" w:hAnsi="Century Gothic"/>
          <w:bCs/>
          <w:sz w:val="21"/>
          <w:szCs w:val="21"/>
        </w:rPr>
        <w:t xml:space="preserve"> </w:t>
      </w:r>
      <w:r>
        <w:rPr>
          <w:rFonts w:ascii="Century Gothic" w:hAnsi="Century Gothic"/>
          <w:bCs/>
          <w:sz w:val="21"/>
          <w:szCs w:val="21"/>
        </w:rPr>
        <w:t xml:space="preserve">resident in </w:t>
      </w:r>
      <w:proofErr w:type="spellStart"/>
      <w:r>
        <w:rPr>
          <w:rFonts w:ascii="Century Gothic" w:hAnsi="Century Gothic"/>
          <w:bCs/>
          <w:sz w:val="21"/>
          <w:szCs w:val="21"/>
        </w:rPr>
        <w:t>Gisborne</w:t>
      </w:r>
      <w:proofErr w:type="spellEnd"/>
      <w:r>
        <w:rPr>
          <w:rFonts w:ascii="Century Gothic" w:hAnsi="Century Gothic"/>
          <w:bCs/>
          <w:sz w:val="21"/>
          <w:szCs w:val="21"/>
        </w:rPr>
        <w:t xml:space="preserve"> (58.3 per cent).</w:t>
      </w:r>
    </w:p>
    <w:p w14:paraId="1E083E20" w14:textId="77777777" w:rsidR="00CD3482" w:rsidRPr="00842AD5" w:rsidRDefault="00CD3482" w:rsidP="0094760F">
      <w:pPr>
        <w:pStyle w:val="ListParagraph"/>
        <w:spacing w:line="360" w:lineRule="auto"/>
        <w:rPr>
          <w:rFonts w:ascii="Century Gothic" w:hAnsi="Century Gothic"/>
          <w:sz w:val="21"/>
          <w:szCs w:val="21"/>
          <w:lang w:eastAsia="en-US"/>
        </w:rPr>
      </w:pPr>
    </w:p>
    <w:p w14:paraId="3D441716" w14:textId="77777777" w:rsidR="00CD3482" w:rsidRDefault="00CD3482" w:rsidP="0094760F">
      <w:pPr>
        <w:pStyle w:val="ListParagraph"/>
        <w:numPr>
          <w:ilvl w:val="0"/>
          <w:numId w:val="25"/>
        </w:numPr>
        <w:spacing w:after="0" w:line="360" w:lineRule="auto"/>
        <w:ind w:left="426" w:hanging="426"/>
        <w:rPr>
          <w:rFonts w:ascii="Century Gothic" w:hAnsi="Century Gothic"/>
          <w:bCs/>
          <w:sz w:val="21"/>
          <w:szCs w:val="21"/>
        </w:rPr>
      </w:pPr>
      <w:r>
        <w:rPr>
          <w:rFonts w:ascii="Century Gothic" w:hAnsi="Century Gothic"/>
          <w:bCs/>
          <w:sz w:val="21"/>
          <w:szCs w:val="21"/>
        </w:rPr>
        <w:t>T</w:t>
      </w:r>
      <w:r w:rsidRPr="00842AD5">
        <w:rPr>
          <w:rFonts w:ascii="Century Gothic" w:hAnsi="Century Gothic"/>
          <w:bCs/>
          <w:sz w:val="21"/>
          <w:szCs w:val="21"/>
        </w:rPr>
        <w:t xml:space="preserve">he employment rate of </w:t>
      </w:r>
      <w:proofErr w:type="spellStart"/>
      <w:r w:rsidRPr="00842AD5">
        <w:rPr>
          <w:rFonts w:ascii="Century Gothic" w:hAnsi="Century Gothic"/>
          <w:bCs/>
          <w:sz w:val="21"/>
          <w:szCs w:val="21"/>
        </w:rPr>
        <w:t>Ngāi</w:t>
      </w:r>
      <w:proofErr w:type="spellEnd"/>
      <w:r w:rsidRPr="00842AD5">
        <w:rPr>
          <w:rFonts w:ascii="Century Gothic" w:hAnsi="Century Gothic"/>
          <w:bCs/>
          <w:sz w:val="21"/>
          <w:szCs w:val="21"/>
        </w:rPr>
        <w:t xml:space="preserve"> </w:t>
      </w:r>
      <w:proofErr w:type="spellStart"/>
      <w:r w:rsidRPr="00842AD5">
        <w:rPr>
          <w:rFonts w:ascii="Century Gothic" w:hAnsi="Century Gothic"/>
          <w:bCs/>
          <w:sz w:val="21"/>
          <w:szCs w:val="21"/>
        </w:rPr>
        <w:t>Tāmanuhiri</w:t>
      </w:r>
      <w:proofErr w:type="spellEnd"/>
      <w:r w:rsidRPr="00842AD5">
        <w:rPr>
          <w:rFonts w:ascii="Century Gothic" w:hAnsi="Century Gothic"/>
          <w:bCs/>
          <w:sz w:val="21"/>
          <w:szCs w:val="21"/>
        </w:rPr>
        <w:t xml:space="preserve"> </w:t>
      </w:r>
      <w:proofErr w:type="spellStart"/>
      <w:proofErr w:type="gramStart"/>
      <w:r w:rsidRPr="00842AD5">
        <w:rPr>
          <w:rFonts w:ascii="Century Gothic" w:hAnsi="Century Gothic"/>
          <w:bCs/>
          <w:sz w:val="21"/>
          <w:szCs w:val="21"/>
        </w:rPr>
        <w:t>te</w:t>
      </w:r>
      <w:proofErr w:type="spellEnd"/>
      <w:proofErr w:type="gramEnd"/>
      <w:r w:rsidRPr="00842AD5">
        <w:rPr>
          <w:rFonts w:ascii="Century Gothic" w:hAnsi="Century Gothic"/>
          <w:bCs/>
          <w:sz w:val="21"/>
          <w:szCs w:val="21"/>
        </w:rPr>
        <w:t xml:space="preserve"> reo speakers in 2013 was slightly higher than for the iwi overall (64.7 per cent), and much higher than the employment rate for all </w:t>
      </w:r>
      <w:proofErr w:type="spellStart"/>
      <w:r w:rsidRPr="00842AD5">
        <w:rPr>
          <w:rFonts w:ascii="Century Gothic" w:hAnsi="Century Gothic"/>
          <w:bCs/>
          <w:sz w:val="21"/>
          <w:szCs w:val="21"/>
        </w:rPr>
        <w:t>te</w:t>
      </w:r>
      <w:proofErr w:type="spellEnd"/>
      <w:r w:rsidRPr="00842AD5">
        <w:rPr>
          <w:rFonts w:ascii="Century Gothic" w:hAnsi="Century Gothic"/>
          <w:bCs/>
          <w:sz w:val="21"/>
          <w:szCs w:val="21"/>
        </w:rPr>
        <w:t xml:space="preserve"> reo speakers of Māori descent (56.7 per cent). </w:t>
      </w:r>
    </w:p>
    <w:p w14:paraId="78366913" w14:textId="77777777" w:rsidR="00CD3482" w:rsidRPr="00842AD5" w:rsidRDefault="00CD3482" w:rsidP="0094760F">
      <w:pPr>
        <w:spacing w:after="0" w:line="360" w:lineRule="auto"/>
        <w:rPr>
          <w:rFonts w:ascii="Century Gothic" w:hAnsi="Century Gothic"/>
          <w:bCs/>
          <w:sz w:val="21"/>
          <w:szCs w:val="21"/>
        </w:rPr>
      </w:pPr>
    </w:p>
    <w:p w14:paraId="5A6A060C" w14:textId="5BF16EC3" w:rsidR="00CD3482" w:rsidRPr="00842AD5" w:rsidRDefault="00796654" w:rsidP="0094760F">
      <w:pPr>
        <w:pStyle w:val="ListParagraph"/>
        <w:numPr>
          <w:ilvl w:val="0"/>
          <w:numId w:val="25"/>
        </w:numPr>
        <w:spacing w:line="360" w:lineRule="auto"/>
        <w:ind w:left="426" w:hanging="426"/>
        <w:rPr>
          <w:rFonts w:ascii="Century Gothic" w:hAnsi="Century Gothic"/>
          <w:sz w:val="21"/>
          <w:szCs w:val="21"/>
          <w:lang w:val="en-US" w:eastAsia="en-US"/>
        </w:rPr>
      </w:pPr>
      <w:r>
        <w:rPr>
          <w:rFonts w:ascii="Century Gothic" w:hAnsi="Century Gothic"/>
          <w:bCs/>
          <w:sz w:val="21"/>
          <w:szCs w:val="21"/>
        </w:rPr>
        <w:t>The unem</w:t>
      </w:r>
      <w:r w:rsidR="00CD3482">
        <w:rPr>
          <w:rFonts w:ascii="Century Gothic" w:hAnsi="Century Gothic"/>
          <w:bCs/>
          <w:sz w:val="21"/>
          <w:szCs w:val="21"/>
        </w:rPr>
        <w:t xml:space="preserve">ployment rate for </w:t>
      </w:r>
      <w:proofErr w:type="spellStart"/>
      <w:r w:rsidR="00CD3482">
        <w:rPr>
          <w:rFonts w:ascii="Century Gothic" w:hAnsi="Century Gothic"/>
          <w:bCs/>
          <w:sz w:val="21"/>
          <w:szCs w:val="21"/>
        </w:rPr>
        <w:t>Ngāi</w:t>
      </w:r>
      <w:proofErr w:type="spellEnd"/>
      <w:r w:rsidR="00CD3482">
        <w:rPr>
          <w:rFonts w:ascii="Century Gothic" w:hAnsi="Century Gothic"/>
          <w:bCs/>
          <w:sz w:val="21"/>
          <w:szCs w:val="21"/>
        </w:rPr>
        <w:t xml:space="preserve"> </w:t>
      </w:r>
      <w:proofErr w:type="spellStart"/>
      <w:r w:rsidR="00CD3482">
        <w:rPr>
          <w:rFonts w:ascii="Century Gothic" w:hAnsi="Century Gothic"/>
          <w:bCs/>
          <w:sz w:val="21"/>
          <w:szCs w:val="21"/>
        </w:rPr>
        <w:t>Tāmanuhiri</w:t>
      </w:r>
      <w:proofErr w:type="spellEnd"/>
      <w:r w:rsidR="00CD3482">
        <w:rPr>
          <w:rFonts w:ascii="Century Gothic" w:hAnsi="Century Gothic"/>
          <w:bCs/>
          <w:sz w:val="21"/>
          <w:szCs w:val="21"/>
        </w:rPr>
        <w:t xml:space="preserve"> was 9.6 per cent in 2006, increasing to 12.7 per cent by 2013. </w:t>
      </w:r>
      <w:r w:rsidR="00CD3482" w:rsidRPr="00695ADA">
        <w:rPr>
          <w:rFonts w:ascii="Century Gothic" w:hAnsi="Century Gothic"/>
          <w:bCs/>
          <w:sz w:val="21"/>
          <w:szCs w:val="21"/>
        </w:rPr>
        <w:t xml:space="preserve">The </w:t>
      </w:r>
      <w:r w:rsidR="00CD3482">
        <w:rPr>
          <w:rFonts w:ascii="Century Gothic" w:hAnsi="Century Gothic"/>
          <w:bCs/>
          <w:sz w:val="21"/>
          <w:szCs w:val="21"/>
        </w:rPr>
        <w:t>increase</w:t>
      </w:r>
      <w:r w:rsidR="00CD3482" w:rsidRPr="00695ADA">
        <w:rPr>
          <w:rFonts w:ascii="Century Gothic" w:hAnsi="Century Gothic"/>
          <w:bCs/>
          <w:sz w:val="21"/>
          <w:szCs w:val="21"/>
        </w:rPr>
        <w:t xml:space="preserve"> reflects the effects of the Global Financial Crisis which began in 2007 and saw the national </w:t>
      </w:r>
      <w:r>
        <w:rPr>
          <w:rFonts w:ascii="Century Gothic" w:hAnsi="Century Gothic"/>
          <w:bCs/>
          <w:sz w:val="21"/>
          <w:szCs w:val="21"/>
        </w:rPr>
        <w:t xml:space="preserve">(total NZ population) </w:t>
      </w:r>
      <w:r w:rsidR="00CD3482" w:rsidRPr="00695ADA">
        <w:rPr>
          <w:rFonts w:ascii="Century Gothic" w:hAnsi="Century Gothic"/>
          <w:bCs/>
          <w:sz w:val="21"/>
          <w:szCs w:val="21"/>
        </w:rPr>
        <w:t xml:space="preserve">unemployment rate in </w:t>
      </w:r>
      <w:proofErr w:type="spellStart"/>
      <w:r w:rsidR="00CD3482" w:rsidRPr="00695ADA">
        <w:rPr>
          <w:rFonts w:ascii="Century Gothic" w:hAnsi="Century Gothic"/>
          <w:bCs/>
          <w:sz w:val="21"/>
          <w:szCs w:val="21"/>
        </w:rPr>
        <w:t>Aotearoa</w:t>
      </w:r>
      <w:proofErr w:type="spellEnd"/>
      <w:r w:rsidR="00CD3482" w:rsidRPr="00695ADA">
        <w:rPr>
          <w:rFonts w:ascii="Century Gothic" w:hAnsi="Century Gothic"/>
          <w:bCs/>
          <w:sz w:val="21"/>
          <w:szCs w:val="21"/>
        </w:rPr>
        <w:t xml:space="preserve"> peak</w:t>
      </w:r>
      <w:r w:rsidR="00CD3482">
        <w:rPr>
          <w:rFonts w:ascii="Century Gothic" w:hAnsi="Century Gothic"/>
          <w:bCs/>
          <w:sz w:val="21"/>
          <w:szCs w:val="21"/>
        </w:rPr>
        <w:t xml:space="preserve"> in 2012.</w:t>
      </w:r>
    </w:p>
    <w:p w14:paraId="3076D5D9" w14:textId="77777777" w:rsidR="00CD3482" w:rsidRPr="00796654" w:rsidRDefault="00CD3482" w:rsidP="0094760F">
      <w:pPr>
        <w:pStyle w:val="ListParagraph"/>
        <w:spacing w:line="360" w:lineRule="auto"/>
        <w:ind w:left="426" w:hanging="426"/>
        <w:rPr>
          <w:rFonts w:ascii="Century Gothic" w:hAnsi="Century Gothic"/>
          <w:sz w:val="21"/>
          <w:szCs w:val="21"/>
          <w:lang w:eastAsia="en-US"/>
        </w:rPr>
      </w:pPr>
    </w:p>
    <w:p w14:paraId="59F6B75A" w14:textId="77777777" w:rsidR="00CD3482" w:rsidRDefault="00CD3482" w:rsidP="0094760F">
      <w:pPr>
        <w:pStyle w:val="ListParagraph"/>
        <w:numPr>
          <w:ilvl w:val="0"/>
          <w:numId w:val="25"/>
        </w:numPr>
        <w:spacing w:after="0" w:line="360" w:lineRule="auto"/>
        <w:ind w:left="426" w:hanging="426"/>
        <w:rPr>
          <w:rFonts w:ascii="Century Gothic" w:hAnsi="Century Gothic"/>
          <w:bCs/>
          <w:sz w:val="21"/>
          <w:szCs w:val="21"/>
        </w:rPr>
      </w:pPr>
      <w:r>
        <w:rPr>
          <w:rFonts w:ascii="Century Gothic" w:hAnsi="Century Gothic"/>
          <w:bCs/>
          <w:sz w:val="21"/>
          <w:szCs w:val="21"/>
        </w:rPr>
        <w:t>T</w:t>
      </w:r>
      <w:r w:rsidRPr="00842AD5">
        <w:rPr>
          <w:rFonts w:ascii="Century Gothic" w:hAnsi="Century Gothic"/>
          <w:bCs/>
          <w:sz w:val="21"/>
          <w:szCs w:val="21"/>
        </w:rPr>
        <w:t xml:space="preserve">he unemployment rate of </w:t>
      </w:r>
      <w:proofErr w:type="spellStart"/>
      <w:r w:rsidRPr="00842AD5">
        <w:rPr>
          <w:rFonts w:ascii="Century Gothic" w:hAnsi="Century Gothic"/>
          <w:bCs/>
          <w:sz w:val="21"/>
          <w:szCs w:val="21"/>
        </w:rPr>
        <w:t>Ngāi</w:t>
      </w:r>
      <w:proofErr w:type="spellEnd"/>
      <w:r w:rsidRPr="00842AD5">
        <w:rPr>
          <w:rFonts w:ascii="Century Gothic" w:hAnsi="Century Gothic"/>
          <w:bCs/>
          <w:sz w:val="21"/>
          <w:szCs w:val="21"/>
        </w:rPr>
        <w:t xml:space="preserve"> </w:t>
      </w:r>
      <w:proofErr w:type="spellStart"/>
      <w:r w:rsidRPr="00842AD5">
        <w:rPr>
          <w:rFonts w:ascii="Century Gothic" w:hAnsi="Century Gothic"/>
          <w:bCs/>
          <w:sz w:val="21"/>
          <w:szCs w:val="21"/>
        </w:rPr>
        <w:t>Tāmanuhiri</w:t>
      </w:r>
      <w:proofErr w:type="spellEnd"/>
      <w:r w:rsidRPr="00842AD5">
        <w:rPr>
          <w:rFonts w:ascii="Century Gothic" w:hAnsi="Century Gothic"/>
          <w:bCs/>
          <w:sz w:val="21"/>
          <w:szCs w:val="21"/>
        </w:rPr>
        <w:t xml:space="preserve"> </w:t>
      </w:r>
      <w:proofErr w:type="spellStart"/>
      <w:proofErr w:type="gramStart"/>
      <w:r w:rsidRPr="00842AD5">
        <w:rPr>
          <w:rFonts w:ascii="Century Gothic" w:hAnsi="Century Gothic"/>
          <w:bCs/>
          <w:sz w:val="21"/>
          <w:szCs w:val="21"/>
        </w:rPr>
        <w:t>te</w:t>
      </w:r>
      <w:proofErr w:type="spellEnd"/>
      <w:proofErr w:type="gramEnd"/>
      <w:r w:rsidRPr="00842AD5">
        <w:rPr>
          <w:rFonts w:ascii="Century Gothic" w:hAnsi="Century Gothic"/>
          <w:bCs/>
          <w:sz w:val="21"/>
          <w:szCs w:val="21"/>
        </w:rPr>
        <w:t xml:space="preserve"> reo speakers was slightly higher than the iwi average (14.2 versus 12.7 per cent), but was substantially lower than the unemployment rate of </w:t>
      </w:r>
      <w:proofErr w:type="spellStart"/>
      <w:r w:rsidRPr="00842AD5">
        <w:rPr>
          <w:rFonts w:ascii="Century Gothic" w:hAnsi="Century Gothic"/>
          <w:bCs/>
          <w:sz w:val="21"/>
          <w:szCs w:val="21"/>
        </w:rPr>
        <w:t>te</w:t>
      </w:r>
      <w:proofErr w:type="spellEnd"/>
      <w:r w:rsidRPr="00842AD5">
        <w:rPr>
          <w:rFonts w:ascii="Century Gothic" w:hAnsi="Century Gothic"/>
          <w:bCs/>
          <w:sz w:val="21"/>
          <w:szCs w:val="21"/>
        </w:rPr>
        <w:t xml:space="preserve"> reo speakers generally (19.4 per cent). </w:t>
      </w:r>
    </w:p>
    <w:p w14:paraId="68E4E982" w14:textId="77777777" w:rsidR="00CD3482" w:rsidRPr="00842AD5" w:rsidRDefault="00CD3482" w:rsidP="0094760F">
      <w:pPr>
        <w:pStyle w:val="ListParagraph"/>
        <w:spacing w:line="360" w:lineRule="auto"/>
        <w:rPr>
          <w:rFonts w:ascii="Century Gothic" w:hAnsi="Century Gothic"/>
          <w:bCs/>
          <w:sz w:val="21"/>
          <w:szCs w:val="21"/>
        </w:rPr>
      </w:pPr>
    </w:p>
    <w:p w14:paraId="30DF1D0F" w14:textId="77777777" w:rsidR="00CD3482" w:rsidRPr="00842AD5" w:rsidRDefault="00CD3482" w:rsidP="0094760F">
      <w:pPr>
        <w:pStyle w:val="ListParagraph"/>
        <w:numPr>
          <w:ilvl w:val="0"/>
          <w:numId w:val="25"/>
        </w:numPr>
        <w:spacing w:after="0" w:line="360" w:lineRule="auto"/>
        <w:ind w:left="426" w:hanging="426"/>
        <w:rPr>
          <w:rFonts w:ascii="Century Gothic" w:hAnsi="Century Gothic"/>
          <w:bCs/>
          <w:sz w:val="21"/>
          <w:szCs w:val="21"/>
        </w:rPr>
      </w:pPr>
      <w:r>
        <w:rPr>
          <w:rFonts w:ascii="Century Gothic" w:hAnsi="Century Gothic"/>
          <w:bCs/>
          <w:sz w:val="21"/>
          <w:szCs w:val="21"/>
        </w:rPr>
        <w:t xml:space="preserve">In 2013, 79 per cent of employed </w:t>
      </w:r>
      <w:proofErr w:type="spellStart"/>
      <w:r>
        <w:rPr>
          <w:rFonts w:ascii="Century Gothic" w:hAnsi="Century Gothic"/>
          <w:bCs/>
          <w:sz w:val="21"/>
          <w:szCs w:val="21"/>
        </w:rPr>
        <w:t>Ngāi</w:t>
      </w:r>
      <w:proofErr w:type="spellEnd"/>
      <w:r>
        <w:rPr>
          <w:rFonts w:ascii="Century Gothic" w:hAnsi="Century Gothic"/>
          <w:bCs/>
          <w:sz w:val="21"/>
          <w:szCs w:val="21"/>
        </w:rPr>
        <w:t xml:space="preserve"> </w:t>
      </w:r>
      <w:proofErr w:type="spellStart"/>
      <w:r>
        <w:rPr>
          <w:rFonts w:ascii="Century Gothic" w:hAnsi="Century Gothic"/>
          <w:bCs/>
          <w:sz w:val="21"/>
          <w:szCs w:val="21"/>
        </w:rPr>
        <w:t>Tāmanuhiri</w:t>
      </w:r>
      <w:proofErr w:type="spellEnd"/>
      <w:r>
        <w:rPr>
          <w:rFonts w:ascii="Century Gothic" w:hAnsi="Century Gothic"/>
          <w:bCs/>
          <w:sz w:val="21"/>
          <w:szCs w:val="21"/>
        </w:rPr>
        <w:t xml:space="preserve"> workers were in full-time work, with the share slightly lower for those resident in </w:t>
      </w:r>
      <w:proofErr w:type="spellStart"/>
      <w:r>
        <w:rPr>
          <w:rFonts w:ascii="Century Gothic" w:hAnsi="Century Gothic"/>
          <w:bCs/>
          <w:sz w:val="21"/>
          <w:szCs w:val="21"/>
        </w:rPr>
        <w:t>Gisborne</w:t>
      </w:r>
      <w:proofErr w:type="spellEnd"/>
      <w:r>
        <w:rPr>
          <w:rFonts w:ascii="Century Gothic" w:hAnsi="Century Gothic"/>
          <w:bCs/>
          <w:sz w:val="21"/>
          <w:szCs w:val="21"/>
        </w:rPr>
        <w:t xml:space="preserve"> (75.3 per cent), and slightly higher for </w:t>
      </w:r>
      <w:proofErr w:type="spellStart"/>
      <w:proofErr w:type="gramStart"/>
      <w:r>
        <w:rPr>
          <w:rFonts w:ascii="Century Gothic" w:hAnsi="Century Gothic"/>
          <w:bCs/>
          <w:sz w:val="21"/>
          <w:szCs w:val="21"/>
        </w:rPr>
        <w:t>te</w:t>
      </w:r>
      <w:proofErr w:type="spellEnd"/>
      <w:proofErr w:type="gramEnd"/>
      <w:r>
        <w:rPr>
          <w:rFonts w:ascii="Century Gothic" w:hAnsi="Century Gothic"/>
          <w:bCs/>
          <w:sz w:val="21"/>
          <w:szCs w:val="21"/>
        </w:rPr>
        <w:t xml:space="preserve"> reo speakers (81.1 per cent).</w:t>
      </w:r>
    </w:p>
    <w:p w14:paraId="65A79C29" w14:textId="77777777" w:rsidR="00CD3482" w:rsidRDefault="00CD3482" w:rsidP="0094760F">
      <w:pPr>
        <w:spacing w:line="360" w:lineRule="auto"/>
        <w:rPr>
          <w:rFonts w:ascii="Century Gothic" w:hAnsi="Century Gothic"/>
          <w:sz w:val="21"/>
          <w:szCs w:val="21"/>
          <w:lang w:eastAsia="en-US"/>
        </w:rPr>
      </w:pPr>
    </w:p>
    <w:p w14:paraId="583305E8" w14:textId="77777777" w:rsidR="00796654" w:rsidRDefault="00796654" w:rsidP="0094760F">
      <w:pPr>
        <w:spacing w:line="360" w:lineRule="auto"/>
        <w:rPr>
          <w:rFonts w:ascii="Century Gothic" w:hAnsi="Century Gothic"/>
          <w:sz w:val="21"/>
          <w:szCs w:val="21"/>
          <w:lang w:eastAsia="en-US"/>
        </w:rPr>
      </w:pPr>
    </w:p>
    <w:p w14:paraId="387671AB" w14:textId="77777777" w:rsidR="00796654" w:rsidRPr="002E0A92" w:rsidRDefault="00796654" w:rsidP="0094760F">
      <w:pPr>
        <w:spacing w:line="360" w:lineRule="auto"/>
        <w:rPr>
          <w:rFonts w:ascii="Century Gothic" w:hAnsi="Century Gothic"/>
          <w:sz w:val="21"/>
          <w:szCs w:val="21"/>
          <w:lang w:eastAsia="en-US"/>
        </w:rPr>
      </w:pPr>
    </w:p>
    <w:p w14:paraId="15AD12A1" w14:textId="77777777" w:rsidR="002B6D2A" w:rsidRDefault="002B6D2A" w:rsidP="0094760F">
      <w:pPr>
        <w:spacing w:line="360" w:lineRule="auto"/>
        <w:rPr>
          <w:rFonts w:ascii="Century Gothic" w:hAnsi="Century Gothic"/>
          <w:b/>
          <w:bCs/>
          <w:sz w:val="21"/>
          <w:szCs w:val="21"/>
          <w:lang w:val="en-US" w:eastAsia="en-US"/>
        </w:rPr>
      </w:pPr>
      <w:r>
        <w:rPr>
          <w:rFonts w:ascii="Century Gothic" w:hAnsi="Century Gothic"/>
          <w:b/>
          <w:bCs/>
          <w:sz w:val="21"/>
          <w:szCs w:val="21"/>
          <w:lang w:val="en-US" w:eastAsia="en-US"/>
        </w:rPr>
        <w:br w:type="page"/>
      </w:r>
    </w:p>
    <w:p w14:paraId="6A1EB49F" w14:textId="7D026C2C" w:rsidR="00CD3482" w:rsidRDefault="00CD3482" w:rsidP="0094760F">
      <w:pPr>
        <w:spacing w:line="360" w:lineRule="auto"/>
        <w:rPr>
          <w:rFonts w:ascii="Century Gothic" w:hAnsi="Century Gothic"/>
          <w:sz w:val="21"/>
          <w:szCs w:val="21"/>
          <w:lang w:val="en-US" w:eastAsia="en-US"/>
        </w:rPr>
      </w:pPr>
      <w:r w:rsidRPr="0085795A">
        <w:rPr>
          <w:rFonts w:ascii="Century Gothic" w:hAnsi="Century Gothic"/>
          <w:b/>
          <w:bCs/>
          <w:sz w:val="21"/>
          <w:szCs w:val="21"/>
          <w:lang w:val="en-US" w:eastAsia="en-US"/>
        </w:rPr>
        <w:lastRenderedPageBreak/>
        <w:t>Occupation</w:t>
      </w:r>
      <w:r w:rsidR="0033211E">
        <w:rPr>
          <w:rFonts w:ascii="Century Gothic" w:hAnsi="Century Gothic"/>
          <w:b/>
          <w:bCs/>
          <w:sz w:val="21"/>
          <w:szCs w:val="21"/>
          <w:lang w:val="en-US" w:eastAsia="en-US"/>
        </w:rPr>
        <w:t xml:space="preserve"> and income</w:t>
      </w:r>
    </w:p>
    <w:p w14:paraId="37042EE6" w14:textId="2787A49D" w:rsidR="00CD3482" w:rsidRPr="000F1661" w:rsidRDefault="00CD3482" w:rsidP="0094760F">
      <w:pPr>
        <w:pStyle w:val="ListParagraph"/>
        <w:numPr>
          <w:ilvl w:val="0"/>
          <w:numId w:val="28"/>
        </w:numPr>
        <w:spacing w:after="0" w:line="360" w:lineRule="auto"/>
        <w:ind w:left="426"/>
        <w:rPr>
          <w:rFonts w:ascii="Century Gothic" w:hAnsi="Century Gothic"/>
          <w:color w:val="000000" w:themeColor="text1"/>
          <w:sz w:val="21"/>
          <w:szCs w:val="21"/>
        </w:rPr>
      </w:pPr>
      <w:r>
        <w:rPr>
          <w:rFonts w:ascii="Century Gothic" w:hAnsi="Century Gothic"/>
          <w:color w:val="000000" w:themeColor="text1"/>
          <w:sz w:val="21"/>
          <w:szCs w:val="21"/>
        </w:rPr>
        <w:t xml:space="preserve">The share of </w:t>
      </w:r>
      <w:proofErr w:type="spellStart"/>
      <w:r>
        <w:rPr>
          <w:rFonts w:ascii="Century Gothic" w:hAnsi="Century Gothic"/>
          <w:color w:val="000000" w:themeColor="text1"/>
          <w:sz w:val="21"/>
          <w:szCs w:val="21"/>
        </w:rPr>
        <w:t>Ngāi</w:t>
      </w:r>
      <w:proofErr w:type="spellEnd"/>
      <w:r>
        <w:rPr>
          <w:rFonts w:ascii="Century Gothic" w:hAnsi="Century Gothic"/>
          <w:color w:val="000000" w:themeColor="text1"/>
          <w:sz w:val="21"/>
          <w:szCs w:val="21"/>
        </w:rPr>
        <w:t xml:space="preserve"> </w:t>
      </w:r>
      <w:proofErr w:type="spellStart"/>
      <w:r>
        <w:rPr>
          <w:rFonts w:ascii="Century Gothic" w:hAnsi="Century Gothic"/>
          <w:color w:val="000000" w:themeColor="text1"/>
          <w:sz w:val="21"/>
          <w:szCs w:val="21"/>
        </w:rPr>
        <w:t>Tāmanuhiri</w:t>
      </w:r>
      <w:proofErr w:type="spellEnd"/>
      <w:r w:rsidRPr="000F1661">
        <w:rPr>
          <w:rFonts w:ascii="Century Gothic" w:hAnsi="Century Gothic"/>
          <w:color w:val="000000" w:themeColor="text1"/>
          <w:sz w:val="21"/>
          <w:szCs w:val="21"/>
        </w:rPr>
        <w:t xml:space="preserve"> employed in mana</w:t>
      </w:r>
      <w:r>
        <w:rPr>
          <w:rFonts w:ascii="Century Gothic" w:hAnsi="Century Gothic"/>
          <w:color w:val="000000" w:themeColor="text1"/>
          <w:sz w:val="21"/>
          <w:szCs w:val="21"/>
        </w:rPr>
        <w:t>gerial and professional jobs increased</w:t>
      </w:r>
      <w:r w:rsidRPr="000F1661">
        <w:rPr>
          <w:rFonts w:ascii="Century Gothic" w:hAnsi="Century Gothic"/>
          <w:color w:val="000000" w:themeColor="text1"/>
          <w:sz w:val="21"/>
          <w:szCs w:val="21"/>
        </w:rPr>
        <w:t xml:space="preserve"> from just over a third in 2006 (34.4 per cent, n= 231) to just over 40 per cent in 2013 (n=273). In both periods the share of </w:t>
      </w:r>
      <w:proofErr w:type="spellStart"/>
      <w:r w:rsidRPr="000F1661">
        <w:rPr>
          <w:rFonts w:ascii="Century Gothic" w:hAnsi="Century Gothic"/>
          <w:color w:val="000000" w:themeColor="text1"/>
          <w:sz w:val="21"/>
          <w:szCs w:val="21"/>
        </w:rPr>
        <w:t>Ngāi</w:t>
      </w:r>
      <w:proofErr w:type="spellEnd"/>
      <w:r w:rsidRPr="000F1661">
        <w:rPr>
          <w:rFonts w:ascii="Century Gothic" w:hAnsi="Century Gothic"/>
          <w:color w:val="000000" w:themeColor="text1"/>
          <w:sz w:val="21"/>
          <w:szCs w:val="21"/>
        </w:rPr>
        <w:t xml:space="preserve"> </w:t>
      </w:r>
      <w:proofErr w:type="spellStart"/>
      <w:r w:rsidRPr="000F1661">
        <w:rPr>
          <w:rFonts w:ascii="Century Gothic" w:hAnsi="Century Gothic"/>
          <w:color w:val="000000" w:themeColor="text1"/>
          <w:sz w:val="21"/>
          <w:szCs w:val="21"/>
        </w:rPr>
        <w:t>Tāmanuhiri</w:t>
      </w:r>
      <w:proofErr w:type="spellEnd"/>
      <w:r w:rsidRPr="000F1661">
        <w:rPr>
          <w:rFonts w:ascii="Century Gothic" w:hAnsi="Century Gothic"/>
          <w:color w:val="000000" w:themeColor="text1"/>
          <w:sz w:val="21"/>
          <w:szCs w:val="21"/>
        </w:rPr>
        <w:t xml:space="preserve"> working in managerial and professional jobs significantly exceede</w:t>
      </w:r>
      <w:r w:rsidR="002B6D2A">
        <w:rPr>
          <w:rFonts w:ascii="Century Gothic" w:hAnsi="Century Gothic"/>
          <w:color w:val="000000" w:themeColor="text1"/>
          <w:sz w:val="21"/>
          <w:szCs w:val="21"/>
        </w:rPr>
        <w:t>d the share for the Māori</w:t>
      </w:r>
      <w:r w:rsidRPr="000F1661">
        <w:rPr>
          <w:rFonts w:ascii="Century Gothic" w:hAnsi="Century Gothic"/>
          <w:color w:val="000000" w:themeColor="text1"/>
          <w:sz w:val="21"/>
          <w:szCs w:val="21"/>
        </w:rPr>
        <w:t xml:space="preserve"> </w:t>
      </w:r>
      <w:r w:rsidR="00796654">
        <w:rPr>
          <w:rFonts w:ascii="Century Gothic" w:hAnsi="Century Gothic"/>
          <w:color w:val="000000" w:themeColor="text1"/>
          <w:sz w:val="21"/>
          <w:szCs w:val="21"/>
        </w:rPr>
        <w:t>descent population.</w:t>
      </w:r>
    </w:p>
    <w:p w14:paraId="3688000D" w14:textId="77777777" w:rsidR="00CD3482" w:rsidRPr="000F1661" w:rsidRDefault="00CD3482" w:rsidP="0094760F">
      <w:pPr>
        <w:spacing w:after="0" w:line="360" w:lineRule="auto"/>
        <w:rPr>
          <w:rFonts w:ascii="Century Gothic" w:hAnsi="Century Gothic"/>
          <w:color w:val="000000" w:themeColor="text1"/>
          <w:sz w:val="21"/>
          <w:szCs w:val="21"/>
        </w:rPr>
      </w:pPr>
    </w:p>
    <w:p w14:paraId="1A76CC0A" w14:textId="04D43F1B" w:rsidR="00CD3482" w:rsidRDefault="00CD3482" w:rsidP="0094760F">
      <w:pPr>
        <w:pStyle w:val="ListParagraph"/>
        <w:numPr>
          <w:ilvl w:val="0"/>
          <w:numId w:val="27"/>
        </w:numPr>
        <w:spacing w:after="0" w:line="360" w:lineRule="auto"/>
        <w:ind w:left="426" w:hanging="426"/>
        <w:rPr>
          <w:rFonts w:ascii="Century Gothic" w:hAnsi="Century Gothic"/>
          <w:color w:val="000000" w:themeColor="text1"/>
          <w:sz w:val="21"/>
          <w:szCs w:val="21"/>
        </w:rPr>
      </w:pPr>
      <w:r w:rsidRPr="000F1661">
        <w:rPr>
          <w:rFonts w:ascii="Century Gothic" w:hAnsi="Century Gothic"/>
          <w:color w:val="000000" w:themeColor="text1"/>
          <w:sz w:val="21"/>
          <w:szCs w:val="21"/>
        </w:rPr>
        <w:t xml:space="preserve">In 2013 nearly half of all </w:t>
      </w:r>
      <w:proofErr w:type="spellStart"/>
      <w:r w:rsidR="00796654">
        <w:rPr>
          <w:rFonts w:ascii="Century Gothic" w:hAnsi="Century Gothic"/>
          <w:color w:val="000000" w:themeColor="text1"/>
          <w:sz w:val="21"/>
          <w:szCs w:val="21"/>
        </w:rPr>
        <w:t>Ngāi</w:t>
      </w:r>
      <w:proofErr w:type="spellEnd"/>
      <w:r w:rsidR="00796654">
        <w:rPr>
          <w:rFonts w:ascii="Century Gothic" w:hAnsi="Century Gothic"/>
          <w:color w:val="000000" w:themeColor="text1"/>
          <w:sz w:val="21"/>
          <w:szCs w:val="21"/>
        </w:rPr>
        <w:t xml:space="preserve"> </w:t>
      </w:r>
      <w:proofErr w:type="spellStart"/>
      <w:r w:rsidR="00796654">
        <w:rPr>
          <w:rFonts w:ascii="Century Gothic" w:hAnsi="Century Gothic"/>
          <w:color w:val="000000" w:themeColor="text1"/>
          <w:sz w:val="21"/>
          <w:szCs w:val="21"/>
        </w:rPr>
        <w:t>Tāmanuhiri</w:t>
      </w:r>
      <w:proofErr w:type="spellEnd"/>
      <w:r w:rsidR="00796654">
        <w:rPr>
          <w:rFonts w:ascii="Century Gothic" w:hAnsi="Century Gothic"/>
          <w:color w:val="000000" w:themeColor="text1"/>
          <w:sz w:val="21"/>
          <w:szCs w:val="21"/>
        </w:rPr>
        <w:t xml:space="preserve"> </w:t>
      </w:r>
      <w:proofErr w:type="spellStart"/>
      <w:proofErr w:type="gramStart"/>
      <w:r w:rsidR="00796654">
        <w:rPr>
          <w:rFonts w:ascii="Century Gothic" w:hAnsi="Century Gothic"/>
          <w:color w:val="000000" w:themeColor="text1"/>
          <w:sz w:val="21"/>
          <w:szCs w:val="21"/>
        </w:rPr>
        <w:t>te</w:t>
      </w:r>
      <w:proofErr w:type="spellEnd"/>
      <w:proofErr w:type="gramEnd"/>
      <w:r w:rsidR="00796654">
        <w:rPr>
          <w:rFonts w:ascii="Century Gothic" w:hAnsi="Century Gothic"/>
          <w:color w:val="000000" w:themeColor="text1"/>
          <w:sz w:val="21"/>
          <w:szCs w:val="21"/>
        </w:rPr>
        <w:t xml:space="preserve"> reo speakers </w:t>
      </w:r>
      <w:r w:rsidRPr="000F1661">
        <w:rPr>
          <w:rFonts w:ascii="Century Gothic" w:hAnsi="Century Gothic"/>
          <w:color w:val="000000" w:themeColor="text1"/>
          <w:sz w:val="21"/>
          <w:szCs w:val="21"/>
        </w:rPr>
        <w:t xml:space="preserve">were managers or professionals. Within the Māori descent population, the percentage of </w:t>
      </w:r>
      <w:proofErr w:type="spellStart"/>
      <w:proofErr w:type="gramStart"/>
      <w:r w:rsidRPr="000F1661">
        <w:rPr>
          <w:rFonts w:ascii="Century Gothic" w:hAnsi="Century Gothic"/>
          <w:color w:val="000000" w:themeColor="text1"/>
          <w:sz w:val="21"/>
          <w:szCs w:val="21"/>
        </w:rPr>
        <w:t>te</w:t>
      </w:r>
      <w:proofErr w:type="spellEnd"/>
      <w:proofErr w:type="gramEnd"/>
      <w:r w:rsidRPr="000F1661">
        <w:rPr>
          <w:rFonts w:ascii="Century Gothic" w:hAnsi="Century Gothic"/>
          <w:color w:val="000000" w:themeColor="text1"/>
          <w:sz w:val="21"/>
          <w:szCs w:val="21"/>
        </w:rPr>
        <w:t xml:space="preserve"> reo Māori speakers who were managers and professionals was also higher than the national average. </w:t>
      </w:r>
    </w:p>
    <w:p w14:paraId="5A7E62E3" w14:textId="77777777" w:rsidR="00CD3482" w:rsidRPr="000F1661" w:rsidRDefault="00CD3482" w:rsidP="0094760F">
      <w:pPr>
        <w:pStyle w:val="ListParagraph"/>
        <w:spacing w:after="0" w:line="360" w:lineRule="auto"/>
        <w:ind w:left="426"/>
        <w:rPr>
          <w:rFonts w:ascii="Century Gothic" w:hAnsi="Century Gothic"/>
          <w:color w:val="000000" w:themeColor="text1"/>
          <w:sz w:val="21"/>
          <w:szCs w:val="21"/>
        </w:rPr>
      </w:pPr>
    </w:p>
    <w:p w14:paraId="3DA494B4" w14:textId="77777777" w:rsidR="00CD3482" w:rsidRDefault="00CD3482" w:rsidP="0094760F">
      <w:pPr>
        <w:pStyle w:val="ListParagraph"/>
        <w:numPr>
          <w:ilvl w:val="0"/>
          <w:numId w:val="27"/>
        </w:numPr>
        <w:spacing w:after="0" w:line="360" w:lineRule="auto"/>
        <w:ind w:left="426" w:hanging="426"/>
        <w:rPr>
          <w:rFonts w:ascii="Century Gothic" w:hAnsi="Century Gothic"/>
          <w:color w:val="000000" w:themeColor="text1"/>
          <w:sz w:val="21"/>
          <w:szCs w:val="21"/>
        </w:rPr>
      </w:pPr>
      <w:r w:rsidRPr="000F1661">
        <w:rPr>
          <w:rFonts w:ascii="Century Gothic" w:hAnsi="Century Gothic"/>
          <w:color w:val="000000" w:themeColor="text1"/>
          <w:sz w:val="21"/>
          <w:szCs w:val="21"/>
        </w:rPr>
        <w:t xml:space="preserve">Speaking </w:t>
      </w:r>
      <w:proofErr w:type="spellStart"/>
      <w:proofErr w:type="gramStart"/>
      <w:r w:rsidRPr="000F1661">
        <w:rPr>
          <w:rFonts w:ascii="Century Gothic" w:hAnsi="Century Gothic"/>
          <w:color w:val="000000" w:themeColor="text1"/>
          <w:sz w:val="21"/>
          <w:szCs w:val="21"/>
        </w:rPr>
        <w:t>te</w:t>
      </w:r>
      <w:proofErr w:type="spellEnd"/>
      <w:proofErr w:type="gramEnd"/>
      <w:r w:rsidRPr="000F1661">
        <w:rPr>
          <w:rFonts w:ascii="Century Gothic" w:hAnsi="Century Gothic"/>
          <w:color w:val="000000" w:themeColor="text1"/>
          <w:sz w:val="21"/>
          <w:szCs w:val="21"/>
        </w:rPr>
        <w:t xml:space="preserve"> reo Māori is associated with more positive outcomes in education and the labour market, and this effect is more evident for </w:t>
      </w:r>
      <w:proofErr w:type="spellStart"/>
      <w:r w:rsidRPr="000F1661">
        <w:rPr>
          <w:rFonts w:ascii="Century Gothic" w:hAnsi="Century Gothic"/>
          <w:color w:val="000000" w:themeColor="text1"/>
          <w:sz w:val="21"/>
          <w:szCs w:val="21"/>
        </w:rPr>
        <w:t>Ngāi</w:t>
      </w:r>
      <w:proofErr w:type="spellEnd"/>
      <w:r w:rsidRPr="000F1661">
        <w:rPr>
          <w:rFonts w:ascii="Century Gothic" w:hAnsi="Century Gothic"/>
          <w:color w:val="000000" w:themeColor="text1"/>
          <w:sz w:val="21"/>
          <w:szCs w:val="21"/>
        </w:rPr>
        <w:t xml:space="preserve"> </w:t>
      </w:r>
      <w:proofErr w:type="spellStart"/>
      <w:r w:rsidRPr="000F1661">
        <w:rPr>
          <w:rFonts w:ascii="Century Gothic" w:hAnsi="Century Gothic"/>
          <w:color w:val="000000" w:themeColor="text1"/>
          <w:sz w:val="21"/>
          <w:szCs w:val="21"/>
        </w:rPr>
        <w:t>Tāmanuhiri</w:t>
      </w:r>
      <w:proofErr w:type="spellEnd"/>
      <w:r w:rsidRPr="000F1661">
        <w:rPr>
          <w:rFonts w:ascii="Century Gothic" w:hAnsi="Century Gothic"/>
          <w:color w:val="000000" w:themeColor="text1"/>
          <w:sz w:val="21"/>
          <w:szCs w:val="21"/>
        </w:rPr>
        <w:t xml:space="preserve"> than for Māori generally.</w:t>
      </w:r>
    </w:p>
    <w:p w14:paraId="5B489516" w14:textId="77777777" w:rsidR="00711801" w:rsidRPr="00711801" w:rsidRDefault="00711801" w:rsidP="00711801">
      <w:pPr>
        <w:pStyle w:val="ListParagraph"/>
        <w:rPr>
          <w:rFonts w:ascii="Century Gothic" w:hAnsi="Century Gothic"/>
          <w:color w:val="000000" w:themeColor="text1"/>
          <w:sz w:val="21"/>
          <w:szCs w:val="21"/>
        </w:rPr>
      </w:pPr>
    </w:p>
    <w:p w14:paraId="4BD77FB1" w14:textId="77777777" w:rsidR="00711801" w:rsidRPr="0025052D" w:rsidRDefault="00711801" w:rsidP="00711801">
      <w:pPr>
        <w:pStyle w:val="ListParagraph"/>
        <w:numPr>
          <w:ilvl w:val="0"/>
          <w:numId w:val="27"/>
        </w:numPr>
        <w:spacing w:after="0" w:line="360" w:lineRule="auto"/>
        <w:ind w:left="426" w:hanging="426"/>
        <w:rPr>
          <w:rFonts w:ascii="Century Gothic" w:hAnsi="Century Gothic"/>
          <w:color w:val="000000" w:themeColor="text1"/>
          <w:sz w:val="21"/>
          <w:szCs w:val="21"/>
        </w:rPr>
      </w:pPr>
      <w:r>
        <w:rPr>
          <w:rFonts w:ascii="Century Gothic" w:hAnsi="Century Gothic" w:cs="Helvetica"/>
          <w:sz w:val="21"/>
          <w:szCs w:val="21"/>
          <w:shd w:val="clear" w:color="auto" w:fill="FFFFFF"/>
        </w:rPr>
        <w:t xml:space="preserve">In 2013, the distribution of </w:t>
      </w:r>
      <w:proofErr w:type="spellStart"/>
      <w:r>
        <w:rPr>
          <w:rFonts w:ascii="Century Gothic" w:hAnsi="Century Gothic" w:cs="Helvetica"/>
          <w:sz w:val="21"/>
          <w:szCs w:val="21"/>
          <w:shd w:val="clear" w:color="auto" w:fill="FFFFFF"/>
        </w:rPr>
        <w:t>Ngāi</w:t>
      </w:r>
      <w:proofErr w:type="spellEnd"/>
      <w:r>
        <w:rPr>
          <w:rFonts w:ascii="Century Gothic" w:hAnsi="Century Gothic" w:cs="Helvetica"/>
          <w:sz w:val="21"/>
          <w:szCs w:val="21"/>
          <w:shd w:val="clear" w:color="auto" w:fill="FFFFFF"/>
        </w:rPr>
        <w:t xml:space="preserve"> </w:t>
      </w:r>
      <w:proofErr w:type="spellStart"/>
      <w:r>
        <w:rPr>
          <w:rFonts w:ascii="Century Gothic" w:hAnsi="Century Gothic" w:cs="Helvetica"/>
          <w:sz w:val="21"/>
          <w:szCs w:val="21"/>
          <w:shd w:val="clear" w:color="auto" w:fill="FFFFFF"/>
        </w:rPr>
        <w:t>Tāmanuhiri</w:t>
      </w:r>
      <w:proofErr w:type="spellEnd"/>
      <w:r>
        <w:rPr>
          <w:rFonts w:ascii="Century Gothic" w:hAnsi="Century Gothic" w:cs="Helvetica"/>
          <w:sz w:val="21"/>
          <w:szCs w:val="21"/>
          <w:shd w:val="clear" w:color="auto" w:fill="FFFFFF"/>
        </w:rPr>
        <w:t xml:space="preserve"> income levels nationally closely reflected that for Māori generally. However, for </w:t>
      </w:r>
      <w:proofErr w:type="spellStart"/>
      <w:r>
        <w:rPr>
          <w:rFonts w:ascii="Century Gothic" w:hAnsi="Century Gothic" w:cs="Helvetica"/>
          <w:sz w:val="21"/>
          <w:szCs w:val="21"/>
          <w:shd w:val="clear" w:color="auto" w:fill="FFFFFF"/>
        </w:rPr>
        <w:t>Ngāi</w:t>
      </w:r>
      <w:proofErr w:type="spellEnd"/>
      <w:r>
        <w:rPr>
          <w:rFonts w:ascii="Century Gothic" w:hAnsi="Century Gothic" w:cs="Helvetica"/>
          <w:sz w:val="21"/>
          <w:szCs w:val="21"/>
          <w:shd w:val="clear" w:color="auto" w:fill="FFFFFF"/>
        </w:rPr>
        <w:t xml:space="preserve"> </w:t>
      </w:r>
      <w:proofErr w:type="spellStart"/>
      <w:r>
        <w:rPr>
          <w:rFonts w:ascii="Century Gothic" w:hAnsi="Century Gothic" w:cs="Helvetica"/>
          <w:sz w:val="21"/>
          <w:szCs w:val="21"/>
          <w:shd w:val="clear" w:color="auto" w:fill="FFFFFF"/>
        </w:rPr>
        <w:t>Tāmanuhiri</w:t>
      </w:r>
      <w:proofErr w:type="spellEnd"/>
      <w:r>
        <w:rPr>
          <w:rFonts w:ascii="Century Gothic" w:hAnsi="Century Gothic" w:cs="Helvetica"/>
          <w:sz w:val="21"/>
          <w:szCs w:val="21"/>
          <w:shd w:val="clear" w:color="auto" w:fill="FFFFFF"/>
        </w:rPr>
        <w:t xml:space="preserve"> resident in </w:t>
      </w:r>
      <w:proofErr w:type="spellStart"/>
      <w:r>
        <w:rPr>
          <w:rFonts w:ascii="Century Gothic" w:hAnsi="Century Gothic" w:cs="Helvetica"/>
          <w:sz w:val="21"/>
          <w:szCs w:val="21"/>
          <w:shd w:val="clear" w:color="auto" w:fill="FFFFFF"/>
        </w:rPr>
        <w:t>Gisborne</w:t>
      </w:r>
      <w:proofErr w:type="spellEnd"/>
      <w:r>
        <w:rPr>
          <w:rFonts w:ascii="Century Gothic" w:hAnsi="Century Gothic" w:cs="Helvetica"/>
          <w:sz w:val="21"/>
          <w:szCs w:val="21"/>
          <w:shd w:val="clear" w:color="auto" w:fill="FFFFFF"/>
        </w:rPr>
        <w:t xml:space="preserve">, income levels were significantly lower, with just over one third (34.8 per cent) earning in excess of $30k in the last year, compared to about 42 per cent of </w:t>
      </w:r>
      <w:proofErr w:type="spellStart"/>
      <w:r>
        <w:rPr>
          <w:rFonts w:ascii="Century Gothic" w:hAnsi="Century Gothic" w:cs="Helvetica"/>
          <w:sz w:val="21"/>
          <w:szCs w:val="21"/>
          <w:shd w:val="clear" w:color="auto" w:fill="FFFFFF"/>
        </w:rPr>
        <w:t>Ngāi</w:t>
      </w:r>
      <w:proofErr w:type="spellEnd"/>
      <w:r>
        <w:rPr>
          <w:rFonts w:ascii="Century Gothic" w:hAnsi="Century Gothic" w:cs="Helvetica"/>
          <w:sz w:val="21"/>
          <w:szCs w:val="21"/>
          <w:shd w:val="clear" w:color="auto" w:fill="FFFFFF"/>
        </w:rPr>
        <w:t xml:space="preserve"> </w:t>
      </w:r>
      <w:proofErr w:type="spellStart"/>
      <w:r>
        <w:rPr>
          <w:rFonts w:ascii="Century Gothic" w:hAnsi="Century Gothic" w:cs="Helvetica"/>
          <w:sz w:val="21"/>
          <w:szCs w:val="21"/>
          <w:shd w:val="clear" w:color="auto" w:fill="FFFFFF"/>
        </w:rPr>
        <w:t>Tāmanuhiri</w:t>
      </w:r>
      <w:proofErr w:type="spellEnd"/>
      <w:r>
        <w:rPr>
          <w:rFonts w:ascii="Century Gothic" w:hAnsi="Century Gothic" w:cs="Helvetica"/>
          <w:sz w:val="21"/>
          <w:szCs w:val="21"/>
          <w:shd w:val="clear" w:color="auto" w:fill="FFFFFF"/>
        </w:rPr>
        <w:t xml:space="preserve"> nationally. This is perhaps unsurprising given that </w:t>
      </w:r>
      <w:proofErr w:type="spellStart"/>
      <w:r>
        <w:rPr>
          <w:rFonts w:ascii="Century Gothic" w:hAnsi="Century Gothic" w:cs="Helvetica"/>
          <w:sz w:val="21"/>
          <w:szCs w:val="21"/>
          <w:shd w:val="clear" w:color="auto" w:fill="FFFFFF"/>
        </w:rPr>
        <w:t>Gisborne</w:t>
      </w:r>
      <w:proofErr w:type="spellEnd"/>
      <w:r>
        <w:rPr>
          <w:rFonts w:ascii="Century Gothic" w:hAnsi="Century Gothic" w:cs="Helvetica"/>
          <w:sz w:val="21"/>
          <w:szCs w:val="21"/>
          <w:shd w:val="clear" w:color="auto" w:fill="FFFFFF"/>
        </w:rPr>
        <w:t xml:space="preserve"> region has the second lowest regional median income, after Northland.</w:t>
      </w:r>
    </w:p>
    <w:p w14:paraId="254A73EE" w14:textId="77777777" w:rsidR="00711801" w:rsidRPr="0025052D" w:rsidRDefault="00711801" w:rsidP="00711801">
      <w:pPr>
        <w:pStyle w:val="ListParagraph"/>
        <w:spacing w:line="360" w:lineRule="auto"/>
        <w:rPr>
          <w:rFonts w:ascii="Century Gothic" w:hAnsi="Century Gothic"/>
          <w:color w:val="000000" w:themeColor="text1"/>
          <w:sz w:val="21"/>
          <w:szCs w:val="21"/>
        </w:rPr>
      </w:pPr>
    </w:p>
    <w:p w14:paraId="344E4801" w14:textId="77777777" w:rsidR="00711801" w:rsidRPr="000F1661" w:rsidRDefault="00711801" w:rsidP="00711801">
      <w:pPr>
        <w:pStyle w:val="ListParagraph"/>
        <w:numPr>
          <w:ilvl w:val="0"/>
          <w:numId w:val="27"/>
        </w:numPr>
        <w:spacing w:after="0" w:line="360" w:lineRule="auto"/>
        <w:ind w:left="426" w:hanging="426"/>
        <w:rPr>
          <w:rFonts w:ascii="Century Gothic" w:hAnsi="Century Gothic"/>
          <w:color w:val="000000" w:themeColor="text1"/>
          <w:sz w:val="21"/>
          <w:szCs w:val="21"/>
        </w:rPr>
      </w:pPr>
      <w:r>
        <w:rPr>
          <w:rFonts w:ascii="Century Gothic" w:hAnsi="Century Gothic" w:cs="Helvetica"/>
          <w:sz w:val="21"/>
          <w:szCs w:val="21"/>
          <w:shd w:val="clear" w:color="auto" w:fill="FFFFFF"/>
        </w:rPr>
        <w:t xml:space="preserve">The small numbers prevent us from showing distributions for </w:t>
      </w:r>
      <w:proofErr w:type="spellStart"/>
      <w:r>
        <w:rPr>
          <w:rFonts w:ascii="Century Gothic" w:hAnsi="Century Gothic" w:cs="Helvetica"/>
          <w:sz w:val="21"/>
          <w:szCs w:val="21"/>
          <w:shd w:val="clear" w:color="auto" w:fill="FFFFFF"/>
        </w:rPr>
        <w:t>Ngāi</w:t>
      </w:r>
      <w:proofErr w:type="spellEnd"/>
      <w:r>
        <w:rPr>
          <w:rFonts w:ascii="Century Gothic" w:hAnsi="Century Gothic" w:cs="Helvetica"/>
          <w:sz w:val="21"/>
          <w:szCs w:val="21"/>
          <w:shd w:val="clear" w:color="auto" w:fill="FFFFFF"/>
        </w:rPr>
        <w:t xml:space="preserve"> </w:t>
      </w:r>
      <w:proofErr w:type="spellStart"/>
      <w:r>
        <w:rPr>
          <w:rFonts w:ascii="Century Gothic" w:hAnsi="Century Gothic" w:cs="Helvetica"/>
          <w:sz w:val="21"/>
          <w:szCs w:val="21"/>
          <w:shd w:val="clear" w:color="auto" w:fill="FFFFFF"/>
        </w:rPr>
        <w:t>Tāmanuhiri</w:t>
      </w:r>
      <w:proofErr w:type="spellEnd"/>
      <w:r>
        <w:rPr>
          <w:rFonts w:ascii="Century Gothic" w:hAnsi="Century Gothic" w:cs="Helvetica"/>
          <w:sz w:val="21"/>
          <w:szCs w:val="21"/>
          <w:shd w:val="clear" w:color="auto" w:fill="FFFFFF"/>
        </w:rPr>
        <w:t xml:space="preserve"> </w:t>
      </w:r>
      <w:proofErr w:type="spellStart"/>
      <w:proofErr w:type="gramStart"/>
      <w:r>
        <w:rPr>
          <w:rFonts w:ascii="Century Gothic" w:hAnsi="Century Gothic" w:cs="Helvetica"/>
          <w:sz w:val="21"/>
          <w:szCs w:val="21"/>
          <w:shd w:val="clear" w:color="auto" w:fill="FFFFFF"/>
        </w:rPr>
        <w:t>te</w:t>
      </w:r>
      <w:proofErr w:type="spellEnd"/>
      <w:proofErr w:type="gramEnd"/>
      <w:r>
        <w:rPr>
          <w:rFonts w:ascii="Century Gothic" w:hAnsi="Century Gothic" w:cs="Helvetica"/>
          <w:sz w:val="21"/>
          <w:szCs w:val="21"/>
          <w:shd w:val="clear" w:color="auto" w:fill="FFFFFF"/>
        </w:rPr>
        <w:t xml:space="preserve"> reo speakers.</w:t>
      </w:r>
    </w:p>
    <w:p w14:paraId="6DE988FE" w14:textId="77777777" w:rsidR="00CD3482" w:rsidRPr="000F1661" w:rsidRDefault="00CD3482" w:rsidP="0094760F">
      <w:pPr>
        <w:spacing w:line="360" w:lineRule="auto"/>
        <w:rPr>
          <w:rFonts w:ascii="Century Gothic" w:hAnsi="Century Gothic"/>
          <w:sz w:val="21"/>
          <w:szCs w:val="21"/>
          <w:lang w:eastAsia="en-US"/>
        </w:rPr>
      </w:pPr>
    </w:p>
    <w:p w14:paraId="33395CAE" w14:textId="77777777" w:rsidR="00CD3482" w:rsidRDefault="00CD3482" w:rsidP="0094760F">
      <w:pPr>
        <w:spacing w:line="360" w:lineRule="auto"/>
        <w:rPr>
          <w:rFonts w:ascii="Century Gothic" w:hAnsi="Century Gothic"/>
          <w:sz w:val="21"/>
          <w:szCs w:val="21"/>
          <w:lang w:val="en-US" w:eastAsia="en-US"/>
        </w:rPr>
      </w:pPr>
      <w:r>
        <w:rPr>
          <w:rFonts w:ascii="Century Gothic" w:hAnsi="Century Gothic"/>
          <w:b/>
          <w:bCs/>
          <w:sz w:val="21"/>
          <w:szCs w:val="21"/>
          <w:lang w:val="en-US" w:eastAsia="en-US"/>
        </w:rPr>
        <w:t>Households</w:t>
      </w:r>
    </w:p>
    <w:p w14:paraId="3AA541F9" w14:textId="77777777" w:rsidR="00CD3482" w:rsidRDefault="00CD3482" w:rsidP="0094760F">
      <w:pPr>
        <w:pStyle w:val="ListParagraph"/>
        <w:numPr>
          <w:ilvl w:val="0"/>
          <w:numId w:val="26"/>
        </w:numPr>
        <w:spacing w:line="360" w:lineRule="auto"/>
        <w:ind w:left="426"/>
        <w:rPr>
          <w:rFonts w:ascii="Century Gothic" w:hAnsi="Century Gothic"/>
          <w:sz w:val="21"/>
          <w:szCs w:val="21"/>
        </w:rPr>
      </w:pPr>
      <w:r>
        <w:rPr>
          <w:rFonts w:ascii="Century Gothic" w:hAnsi="Century Gothic"/>
          <w:sz w:val="21"/>
          <w:szCs w:val="21"/>
        </w:rPr>
        <w:t>I</w:t>
      </w:r>
      <w:r w:rsidRPr="00116F7C">
        <w:rPr>
          <w:rFonts w:ascii="Century Gothic" w:hAnsi="Century Gothic"/>
          <w:sz w:val="21"/>
          <w:szCs w:val="21"/>
        </w:rPr>
        <w:t xml:space="preserve">n 2013 there were 951 households with at least one resident (adult or child) identifying as </w:t>
      </w:r>
      <w:proofErr w:type="spellStart"/>
      <w:r w:rsidRPr="00116F7C">
        <w:rPr>
          <w:rFonts w:ascii="Century Gothic" w:hAnsi="Century Gothic"/>
          <w:sz w:val="21"/>
          <w:szCs w:val="21"/>
        </w:rPr>
        <w:t>Ngāi</w:t>
      </w:r>
      <w:proofErr w:type="spellEnd"/>
      <w:r w:rsidRPr="00116F7C">
        <w:rPr>
          <w:rFonts w:ascii="Century Gothic" w:hAnsi="Century Gothic"/>
          <w:sz w:val="21"/>
          <w:szCs w:val="21"/>
        </w:rPr>
        <w:t xml:space="preserve"> </w:t>
      </w:r>
      <w:proofErr w:type="spellStart"/>
      <w:r w:rsidRPr="00116F7C">
        <w:rPr>
          <w:rFonts w:ascii="Century Gothic" w:hAnsi="Century Gothic"/>
          <w:sz w:val="21"/>
          <w:szCs w:val="21"/>
        </w:rPr>
        <w:t>Tāmanuhiri</w:t>
      </w:r>
      <w:proofErr w:type="spellEnd"/>
      <w:r w:rsidRPr="00116F7C">
        <w:rPr>
          <w:rFonts w:ascii="Century Gothic" w:hAnsi="Century Gothic"/>
          <w:sz w:val="21"/>
          <w:szCs w:val="21"/>
        </w:rPr>
        <w:t xml:space="preserve">. Of those households, just over 60 per cent had at least one </w:t>
      </w:r>
      <w:proofErr w:type="spellStart"/>
      <w:proofErr w:type="gramStart"/>
      <w:r w:rsidRPr="00116F7C">
        <w:rPr>
          <w:rFonts w:ascii="Century Gothic" w:hAnsi="Century Gothic"/>
          <w:sz w:val="21"/>
          <w:szCs w:val="21"/>
        </w:rPr>
        <w:t>te</w:t>
      </w:r>
      <w:proofErr w:type="spellEnd"/>
      <w:proofErr w:type="gramEnd"/>
      <w:r w:rsidRPr="00116F7C">
        <w:rPr>
          <w:rFonts w:ascii="Century Gothic" w:hAnsi="Century Gothic"/>
          <w:sz w:val="21"/>
          <w:szCs w:val="21"/>
        </w:rPr>
        <w:t xml:space="preserve"> reo Māori speaker. We cannot tell if that speaker affiliated as </w:t>
      </w:r>
      <w:proofErr w:type="spellStart"/>
      <w:r w:rsidRPr="00116F7C">
        <w:rPr>
          <w:rFonts w:ascii="Century Gothic" w:hAnsi="Century Gothic"/>
          <w:sz w:val="21"/>
          <w:szCs w:val="21"/>
        </w:rPr>
        <w:t>Ngāi</w:t>
      </w:r>
      <w:proofErr w:type="spellEnd"/>
      <w:r w:rsidRPr="00116F7C">
        <w:rPr>
          <w:rFonts w:ascii="Century Gothic" w:hAnsi="Century Gothic"/>
          <w:sz w:val="21"/>
          <w:szCs w:val="21"/>
        </w:rPr>
        <w:t xml:space="preserve"> </w:t>
      </w:r>
      <w:proofErr w:type="spellStart"/>
      <w:r w:rsidRPr="00116F7C">
        <w:rPr>
          <w:rFonts w:ascii="Century Gothic" w:hAnsi="Century Gothic"/>
          <w:sz w:val="21"/>
          <w:szCs w:val="21"/>
        </w:rPr>
        <w:t>Tāmanuhiri</w:t>
      </w:r>
      <w:proofErr w:type="spellEnd"/>
      <w:r w:rsidRPr="00116F7C">
        <w:rPr>
          <w:rFonts w:ascii="Century Gothic" w:hAnsi="Century Gothic"/>
          <w:sz w:val="21"/>
          <w:szCs w:val="21"/>
        </w:rPr>
        <w:t xml:space="preserve"> but in the majority of cases that is likely to be the case.</w:t>
      </w:r>
    </w:p>
    <w:p w14:paraId="70E0C139" w14:textId="77777777" w:rsidR="00CD3482" w:rsidRDefault="00CD3482" w:rsidP="0094760F">
      <w:pPr>
        <w:pStyle w:val="ListParagraph"/>
        <w:spacing w:line="360" w:lineRule="auto"/>
        <w:ind w:left="426"/>
        <w:rPr>
          <w:rFonts w:ascii="Century Gothic" w:hAnsi="Century Gothic"/>
          <w:sz w:val="21"/>
          <w:szCs w:val="21"/>
        </w:rPr>
      </w:pPr>
    </w:p>
    <w:p w14:paraId="7961AAC1" w14:textId="77777777" w:rsidR="00CD3482" w:rsidRPr="00116F7C" w:rsidRDefault="00CD3482" w:rsidP="0094760F">
      <w:pPr>
        <w:pStyle w:val="ListParagraph"/>
        <w:numPr>
          <w:ilvl w:val="0"/>
          <w:numId w:val="26"/>
        </w:numPr>
        <w:spacing w:line="360" w:lineRule="auto"/>
        <w:ind w:left="426"/>
        <w:rPr>
          <w:rFonts w:ascii="Century Gothic" w:hAnsi="Century Gothic"/>
          <w:sz w:val="21"/>
          <w:szCs w:val="21"/>
        </w:rPr>
      </w:pPr>
      <w:r>
        <w:rPr>
          <w:rFonts w:ascii="Century Gothic" w:hAnsi="Century Gothic"/>
          <w:sz w:val="21"/>
          <w:szCs w:val="21"/>
        </w:rPr>
        <w:t xml:space="preserve">In </w:t>
      </w:r>
      <w:proofErr w:type="spellStart"/>
      <w:r>
        <w:rPr>
          <w:rFonts w:ascii="Century Gothic" w:hAnsi="Century Gothic"/>
          <w:sz w:val="21"/>
          <w:szCs w:val="21"/>
        </w:rPr>
        <w:t>Gisborne</w:t>
      </w:r>
      <w:proofErr w:type="spellEnd"/>
      <w:r w:rsidRPr="00116F7C">
        <w:rPr>
          <w:rFonts w:ascii="Century Gothic" w:hAnsi="Century Gothic"/>
          <w:sz w:val="21"/>
          <w:szCs w:val="21"/>
        </w:rPr>
        <w:t xml:space="preserve"> there were 345 households with at least one </w:t>
      </w:r>
      <w:proofErr w:type="spellStart"/>
      <w:r w:rsidRPr="00116F7C">
        <w:rPr>
          <w:rFonts w:ascii="Century Gothic" w:hAnsi="Century Gothic"/>
          <w:sz w:val="21"/>
          <w:szCs w:val="21"/>
        </w:rPr>
        <w:t>Ngāi</w:t>
      </w:r>
      <w:proofErr w:type="spellEnd"/>
      <w:r w:rsidRPr="00116F7C">
        <w:rPr>
          <w:rFonts w:ascii="Century Gothic" w:hAnsi="Century Gothic"/>
          <w:sz w:val="21"/>
          <w:szCs w:val="21"/>
        </w:rPr>
        <w:t xml:space="preserve"> </w:t>
      </w:r>
      <w:proofErr w:type="spellStart"/>
      <w:r w:rsidRPr="00116F7C">
        <w:rPr>
          <w:rFonts w:ascii="Century Gothic" w:hAnsi="Century Gothic"/>
          <w:sz w:val="21"/>
          <w:szCs w:val="21"/>
        </w:rPr>
        <w:t>Tāmanuhiri</w:t>
      </w:r>
      <w:proofErr w:type="spellEnd"/>
      <w:r w:rsidRPr="00116F7C">
        <w:rPr>
          <w:rFonts w:ascii="Century Gothic" w:hAnsi="Century Gothic"/>
          <w:sz w:val="21"/>
          <w:szCs w:val="21"/>
        </w:rPr>
        <w:t xml:space="preserve"> resident in 2013, of which nearly 69 per cent had at least one </w:t>
      </w:r>
      <w:proofErr w:type="spellStart"/>
      <w:proofErr w:type="gramStart"/>
      <w:r w:rsidRPr="00116F7C">
        <w:rPr>
          <w:rFonts w:ascii="Century Gothic" w:hAnsi="Century Gothic"/>
          <w:sz w:val="21"/>
          <w:szCs w:val="21"/>
        </w:rPr>
        <w:t>te</w:t>
      </w:r>
      <w:proofErr w:type="spellEnd"/>
      <w:proofErr w:type="gramEnd"/>
      <w:r w:rsidRPr="00116F7C">
        <w:rPr>
          <w:rFonts w:ascii="Century Gothic" w:hAnsi="Century Gothic"/>
          <w:sz w:val="21"/>
          <w:szCs w:val="21"/>
        </w:rPr>
        <w:t xml:space="preserve"> reo Māori speaker.</w:t>
      </w:r>
    </w:p>
    <w:p w14:paraId="32AE281F" w14:textId="77777777" w:rsidR="00B417F2" w:rsidRPr="00CD3482" w:rsidRDefault="00B417F2" w:rsidP="0094760F">
      <w:pPr>
        <w:pStyle w:val="NoSpacing"/>
        <w:spacing w:line="360" w:lineRule="auto"/>
        <w:rPr>
          <w:rFonts w:ascii="Century Gothic" w:hAnsi="Century Gothic"/>
          <w:sz w:val="21"/>
          <w:szCs w:val="21"/>
          <w:lang w:val="en-NZ"/>
        </w:rPr>
      </w:pPr>
    </w:p>
    <w:p w14:paraId="5E460321" w14:textId="77777777" w:rsidR="00B417F2" w:rsidRDefault="00B417F2" w:rsidP="0094760F">
      <w:pPr>
        <w:pStyle w:val="NoSpacing"/>
        <w:spacing w:line="360" w:lineRule="auto"/>
      </w:pPr>
    </w:p>
    <w:p w14:paraId="3EF2E8F9" w14:textId="77777777" w:rsidR="00B417F2" w:rsidRDefault="00B417F2" w:rsidP="0094760F">
      <w:pPr>
        <w:pStyle w:val="NoSpacing"/>
        <w:spacing w:line="360" w:lineRule="auto"/>
      </w:pPr>
    </w:p>
    <w:p w14:paraId="07E06616" w14:textId="2A998C95" w:rsidR="00B417F2" w:rsidRDefault="00B417F2" w:rsidP="0094760F">
      <w:pPr>
        <w:pStyle w:val="NoSpacing"/>
        <w:spacing w:line="360" w:lineRule="auto"/>
      </w:pPr>
    </w:p>
    <w:p w14:paraId="5FB309BE" w14:textId="43C3921B" w:rsidR="0058608C" w:rsidRDefault="0058608C" w:rsidP="0094760F">
      <w:pPr>
        <w:pStyle w:val="NoSpacing"/>
        <w:spacing w:line="360" w:lineRule="auto"/>
      </w:pPr>
    </w:p>
    <w:p w14:paraId="40C9011B" w14:textId="713DD4A4" w:rsidR="0058608C" w:rsidRDefault="0058608C" w:rsidP="0094760F">
      <w:pPr>
        <w:pStyle w:val="NoSpacing"/>
        <w:spacing w:line="360" w:lineRule="auto"/>
      </w:pPr>
    </w:p>
    <w:p w14:paraId="46B9145C" w14:textId="01C5176B" w:rsidR="00D32CA4" w:rsidRPr="0006087D" w:rsidRDefault="0094760F" w:rsidP="00D32CA4">
      <w:pPr>
        <w:pStyle w:val="Heading1"/>
        <w:rPr>
          <w:rFonts w:ascii="Century Gothic" w:hAnsi="Century Gothic"/>
          <w:b/>
          <w:bCs/>
          <w:color w:val="3A9DB4"/>
          <w:lang w:val="it-IT"/>
        </w:rPr>
      </w:pPr>
      <w:bookmarkStart w:id="2" w:name="_Toc444240901"/>
      <w:bookmarkStart w:id="3" w:name="_Toc491783036"/>
      <w:r>
        <w:rPr>
          <w:rFonts w:ascii="Century Gothic" w:hAnsi="Century Gothic"/>
          <w:b/>
          <w:bCs/>
          <w:color w:val="3A9DB4"/>
          <w:lang w:val="it-IT"/>
        </w:rPr>
        <w:lastRenderedPageBreak/>
        <w:t>I</w:t>
      </w:r>
      <w:r w:rsidR="00D32CA4" w:rsidRPr="0006087D">
        <w:rPr>
          <w:rFonts w:ascii="Century Gothic" w:hAnsi="Century Gothic"/>
          <w:b/>
          <w:bCs/>
          <w:color w:val="3A9DB4"/>
          <w:lang w:val="it-IT"/>
        </w:rPr>
        <w:t>ntroduction</w:t>
      </w:r>
      <w:bookmarkEnd w:id="2"/>
      <w:bookmarkEnd w:id="3"/>
    </w:p>
    <w:p w14:paraId="7AEE140F" w14:textId="77777777" w:rsidR="00B65158" w:rsidRPr="0006087D" w:rsidRDefault="00B65158" w:rsidP="009E253A">
      <w:pPr>
        <w:pStyle w:val="NoSpacing"/>
        <w:spacing w:line="360" w:lineRule="auto"/>
        <w:rPr>
          <w:rFonts w:ascii="Century Gothic" w:hAnsi="Century Gothic"/>
          <w:sz w:val="21"/>
          <w:szCs w:val="21"/>
          <w:lang w:val="it-IT"/>
        </w:rPr>
      </w:pPr>
    </w:p>
    <w:p w14:paraId="0522E1EA" w14:textId="77777777" w:rsidR="008B631A" w:rsidRPr="008B631A" w:rsidRDefault="008B631A" w:rsidP="008B631A">
      <w:pPr>
        <w:spacing w:after="0" w:line="240" w:lineRule="auto"/>
        <w:jc w:val="center"/>
        <w:rPr>
          <w:rFonts w:ascii="Century Gothic" w:eastAsia="Times New Roman" w:hAnsi="Century Gothic" w:cs="Arial"/>
          <w:i/>
          <w:iCs/>
          <w:color w:val="5A5A5A"/>
          <w:sz w:val="21"/>
          <w:szCs w:val="21"/>
          <w:lang w:val="it-IT"/>
        </w:rPr>
      </w:pPr>
      <w:r w:rsidRPr="008B631A">
        <w:rPr>
          <w:rFonts w:ascii="Century Gothic" w:eastAsia="Times New Roman" w:hAnsi="Century Gothic" w:cs="Arial"/>
          <w:i/>
          <w:iCs/>
          <w:color w:val="5A5A5A"/>
          <w:sz w:val="21"/>
          <w:szCs w:val="21"/>
          <w:lang w:val="it-IT"/>
        </w:rPr>
        <w:t>Tērā ia e mā mai rā,</w:t>
      </w:r>
    </w:p>
    <w:p w14:paraId="264183BC" w14:textId="77777777" w:rsidR="008B631A" w:rsidRPr="008B631A" w:rsidRDefault="008B631A" w:rsidP="008B631A">
      <w:pPr>
        <w:spacing w:after="0" w:line="240" w:lineRule="auto"/>
        <w:jc w:val="center"/>
        <w:rPr>
          <w:rFonts w:ascii="Century Gothic" w:eastAsia="Times New Roman" w:hAnsi="Century Gothic" w:cs="Arial"/>
          <w:i/>
          <w:iCs/>
          <w:color w:val="5A5A5A"/>
          <w:sz w:val="21"/>
          <w:szCs w:val="21"/>
          <w:lang w:val="it-IT"/>
        </w:rPr>
      </w:pPr>
      <w:r w:rsidRPr="008B631A">
        <w:rPr>
          <w:rFonts w:ascii="Century Gothic" w:eastAsia="Times New Roman" w:hAnsi="Century Gothic" w:cs="Arial"/>
          <w:i/>
          <w:iCs/>
          <w:color w:val="5A5A5A"/>
          <w:sz w:val="21"/>
          <w:szCs w:val="21"/>
          <w:lang w:val="it-IT"/>
        </w:rPr>
        <w:t>E pakia mai rā e ngā ngaru o te moana,</w:t>
      </w:r>
    </w:p>
    <w:p w14:paraId="3A677FD7" w14:textId="77777777" w:rsidR="008B631A" w:rsidRPr="008B631A" w:rsidRDefault="008B631A" w:rsidP="008B631A">
      <w:pPr>
        <w:spacing w:after="0" w:line="240" w:lineRule="auto"/>
        <w:jc w:val="center"/>
        <w:rPr>
          <w:rFonts w:ascii="Century Gothic" w:eastAsia="Times New Roman" w:hAnsi="Century Gothic" w:cs="Arial"/>
          <w:i/>
          <w:iCs/>
          <w:color w:val="5A5A5A"/>
          <w:sz w:val="21"/>
          <w:szCs w:val="21"/>
          <w:lang w:val="es-ES"/>
        </w:rPr>
      </w:pPr>
      <w:proofErr w:type="spellStart"/>
      <w:r w:rsidRPr="008B631A">
        <w:rPr>
          <w:rFonts w:ascii="Century Gothic" w:eastAsia="Times New Roman" w:hAnsi="Century Gothic" w:cs="Arial"/>
          <w:i/>
          <w:iCs/>
          <w:color w:val="5A5A5A"/>
          <w:sz w:val="21"/>
          <w:szCs w:val="21"/>
          <w:lang w:val="es-ES"/>
        </w:rPr>
        <w:t>Ko</w:t>
      </w:r>
      <w:proofErr w:type="spellEnd"/>
      <w:r w:rsidRPr="008B631A">
        <w:rPr>
          <w:rFonts w:ascii="Century Gothic" w:eastAsia="Times New Roman" w:hAnsi="Century Gothic" w:cs="Arial"/>
          <w:i/>
          <w:iCs/>
          <w:color w:val="5A5A5A"/>
          <w:sz w:val="21"/>
          <w:szCs w:val="21"/>
          <w:lang w:val="es-ES"/>
        </w:rPr>
        <w:t xml:space="preserve"> Te </w:t>
      </w:r>
      <w:proofErr w:type="spellStart"/>
      <w:r w:rsidRPr="008B631A">
        <w:rPr>
          <w:rFonts w:ascii="Century Gothic" w:eastAsia="Times New Roman" w:hAnsi="Century Gothic" w:cs="Arial"/>
          <w:i/>
          <w:iCs/>
          <w:color w:val="5A5A5A"/>
          <w:sz w:val="21"/>
          <w:szCs w:val="21"/>
          <w:lang w:val="es-ES"/>
        </w:rPr>
        <w:t>Kurī</w:t>
      </w:r>
      <w:proofErr w:type="spellEnd"/>
      <w:r w:rsidRPr="008B631A">
        <w:rPr>
          <w:rFonts w:ascii="Century Gothic" w:eastAsia="Times New Roman" w:hAnsi="Century Gothic" w:cs="Arial"/>
          <w:i/>
          <w:iCs/>
          <w:color w:val="5A5A5A"/>
          <w:sz w:val="21"/>
          <w:szCs w:val="21"/>
          <w:lang w:val="es-ES"/>
        </w:rPr>
        <w:t xml:space="preserve"> a </w:t>
      </w:r>
      <w:proofErr w:type="spellStart"/>
      <w:r w:rsidRPr="008B631A">
        <w:rPr>
          <w:rFonts w:ascii="Century Gothic" w:eastAsia="Times New Roman" w:hAnsi="Century Gothic" w:cs="Arial"/>
          <w:i/>
          <w:iCs/>
          <w:color w:val="5A5A5A"/>
          <w:sz w:val="21"/>
          <w:szCs w:val="21"/>
          <w:lang w:val="es-ES"/>
        </w:rPr>
        <w:t>Paoa</w:t>
      </w:r>
      <w:proofErr w:type="spellEnd"/>
      <w:r w:rsidRPr="008B631A">
        <w:rPr>
          <w:rFonts w:ascii="Century Gothic" w:eastAsia="Times New Roman" w:hAnsi="Century Gothic" w:cs="Arial"/>
          <w:i/>
          <w:iCs/>
          <w:color w:val="5A5A5A"/>
          <w:sz w:val="21"/>
          <w:szCs w:val="21"/>
          <w:lang w:val="es-ES"/>
        </w:rPr>
        <w:t>.</w:t>
      </w:r>
    </w:p>
    <w:p w14:paraId="2FA02BF4" w14:textId="77777777" w:rsidR="008B631A" w:rsidRPr="008B631A" w:rsidRDefault="008B631A" w:rsidP="008B631A">
      <w:pPr>
        <w:spacing w:after="0" w:line="240" w:lineRule="auto"/>
        <w:jc w:val="center"/>
        <w:rPr>
          <w:rFonts w:ascii="Century Gothic" w:eastAsia="Times New Roman" w:hAnsi="Century Gothic" w:cs="Arial"/>
          <w:i/>
          <w:iCs/>
          <w:color w:val="5A5A5A"/>
          <w:sz w:val="21"/>
          <w:szCs w:val="21"/>
          <w:lang w:val="es-ES"/>
        </w:rPr>
      </w:pPr>
      <w:proofErr w:type="spellStart"/>
      <w:r w:rsidRPr="008B631A">
        <w:rPr>
          <w:rFonts w:ascii="Century Gothic" w:eastAsia="Times New Roman" w:hAnsi="Century Gothic" w:cs="Arial"/>
          <w:i/>
          <w:iCs/>
          <w:color w:val="5A5A5A"/>
          <w:sz w:val="21"/>
          <w:szCs w:val="21"/>
          <w:lang w:val="es-ES"/>
        </w:rPr>
        <w:t>Kei</w:t>
      </w:r>
      <w:proofErr w:type="spellEnd"/>
      <w:r w:rsidRPr="008B631A">
        <w:rPr>
          <w:rFonts w:ascii="Century Gothic" w:eastAsia="Times New Roman" w:hAnsi="Century Gothic" w:cs="Arial"/>
          <w:i/>
          <w:iCs/>
          <w:color w:val="5A5A5A"/>
          <w:sz w:val="21"/>
          <w:szCs w:val="21"/>
          <w:lang w:val="es-ES"/>
        </w:rPr>
        <w:t xml:space="preserve"> </w:t>
      </w:r>
      <w:proofErr w:type="spellStart"/>
      <w:r w:rsidRPr="008B631A">
        <w:rPr>
          <w:rFonts w:ascii="Century Gothic" w:eastAsia="Times New Roman" w:hAnsi="Century Gothic" w:cs="Arial"/>
          <w:i/>
          <w:iCs/>
          <w:color w:val="5A5A5A"/>
          <w:sz w:val="21"/>
          <w:szCs w:val="21"/>
          <w:lang w:val="es-ES"/>
        </w:rPr>
        <w:t>ngā</w:t>
      </w:r>
      <w:proofErr w:type="spellEnd"/>
      <w:r w:rsidRPr="008B631A">
        <w:rPr>
          <w:rFonts w:ascii="Century Gothic" w:eastAsia="Times New Roman" w:hAnsi="Century Gothic" w:cs="Arial"/>
          <w:i/>
          <w:iCs/>
          <w:color w:val="5A5A5A"/>
          <w:sz w:val="21"/>
          <w:szCs w:val="21"/>
          <w:lang w:val="es-ES"/>
        </w:rPr>
        <w:t xml:space="preserve"> repo o Te </w:t>
      </w:r>
      <w:proofErr w:type="spellStart"/>
      <w:r w:rsidRPr="008B631A">
        <w:rPr>
          <w:rFonts w:ascii="Century Gothic" w:eastAsia="Times New Roman" w:hAnsi="Century Gothic" w:cs="Arial"/>
          <w:i/>
          <w:iCs/>
          <w:color w:val="5A5A5A"/>
          <w:sz w:val="21"/>
          <w:szCs w:val="21"/>
          <w:lang w:val="es-ES"/>
        </w:rPr>
        <w:t>Wherowhero</w:t>
      </w:r>
      <w:proofErr w:type="spellEnd"/>
      <w:r w:rsidRPr="008B631A">
        <w:rPr>
          <w:rFonts w:ascii="Century Gothic" w:eastAsia="Times New Roman" w:hAnsi="Century Gothic" w:cs="Arial"/>
          <w:i/>
          <w:iCs/>
          <w:color w:val="5A5A5A"/>
          <w:sz w:val="21"/>
          <w:szCs w:val="21"/>
          <w:lang w:val="es-ES"/>
        </w:rPr>
        <w:t xml:space="preserve"> </w:t>
      </w:r>
      <w:proofErr w:type="spellStart"/>
      <w:r w:rsidRPr="008B631A">
        <w:rPr>
          <w:rFonts w:ascii="Century Gothic" w:eastAsia="Times New Roman" w:hAnsi="Century Gothic" w:cs="Arial"/>
          <w:i/>
          <w:iCs/>
          <w:color w:val="5A5A5A"/>
          <w:sz w:val="21"/>
          <w:szCs w:val="21"/>
          <w:lang w:val="es-ES"/>
        </w:rPr>
        <w:t>taku</w:t>
      </w:r>
      <w:proofErr w:type="spellEnd"/>
      <w:r w:rsidRPr="008B631A">
        <w:rPr>
          <w:rFonts w:ascii="Century Gothic" w:eastAsia="Times New Roman" w:hAnsi="Century Gothic" w:cs="Arial"/>
          <w:i/>
          <w:iCs/>
          <w:color w:val="5A5A5A"/>
          <w:sz w:val="21"/>
          <w:szCs w:val="21"/>
          <w:lang w:val="es-ES"/>
        </w:rPr>
        <w:t xml:space="preserve"> </w:t>
      </w:r>
      <w:proofErr w:type="spellStart"/>
      <w:r w:rsidRPr="008B631A">
        <w:rPr>
          <w:rFonts w:ascii="Century Gothic" w:eastAsia="Times New Roman" w:hAnsi="Century Gothic" w:cs="Arial"/>
          <w:i/>
          <w:iCs/>
          <w:color w:val="5A5A5A"/>
          <w:sz w:val="21"/>
          <w:szCs w:val="21"/>
          <w:lang w:val="es-ES"/>
        </w:rPr>
        <w:t>waka</w:t>
      </w:r>
      <w:proofErr w:type="spellEnd"/>
      <w:r w:rsidRPr="008B631A">
        <w:rPr>
          <w:rFonts w:ascii="Century Gothic" w:eastAsia="Times New Roman" w:hAnsi="Century Gothic" w:cs="Arial"/>
          <w:i/>
          <w:iCs/>
          <w:color w:val="5A5A5A"/>
          <w:sz w:val="21"/>
          <w:szCs w:val="21"/>
          <w:lang w:val="es-ES"/>
        </w:rPr>
        <w:t xml:space="preserve"> a </w:t>
      </w:r>
      <w:proofErr w:type="spellStart"/>
      <w:r w:rsidRPr="008B631A">
        <w:rPr>
          <w:rFonts w:ascii="Century Gothic" w:eastAsia="Times New Roman" w:hAnsi="Century Gothic" w:cs="Arial"/>
          <w:i/>
          <w:iCs/>
          <w:color w:val="5A5A5A"/>
          <w:sz w:val="21"/>
          <w:szCs w:val="21"/>
          <w:lang w:val="es-ES"/>
        </w:rPr>
        <w:t>Horouta</w:t>
      </w:r>
      <w:proofErr w:type="spellEnd"/>
      <w:r w:rsidRPr="008B631A">
        <w:rPr>
          <w:rFonts w:ascii="Century Gothic" w:eastAsia="Times New Roman" w:hAnsi="Century Gothic" w:cs="Arial"/>
          <w:i/>
          <w:iCs/>
          <w:color w:val="5A5A5A"/>
          <w:sz w:val="21"/>
          <w:szCs w:val="21"/>
          <w:lang w:val="es-ES"/>
        </w:rPr>
        <w:t>.</w:t>
      </w:r>
    </w:p>
    <w:p w14:paraId="2EC3091B" w14:textId="77777777" w:rsidR="008B631A" w:rsidRPr="008B631A" w:rsidRDefault="008B631A" w:rsidP="008B631A">
      <w:pPr>
        <w:spacing w:after="0" w:line="240" w:lineRule="auto"/>
        <w:jc w:val="center"/>
        <w:rPr>
          <w:rFonts w:ascii="Century Gothic" w:eastAsia="Times New Roman" w:hAnsi="Century Gothic" w:cs="Arial"/>
          <w:i/>
          <w:iCs/>
          <w:color w:val="5A5A5A"/>
          <w:sz w:val="21"/>
          <w:szCs w:val="21"/>
          <w:lang w:val="it-IT"/>
        </w:rPr>
      </w:pPr>
      <w:r w:rsidRPr="008B631A">
        <w:rPr>
          <w:rFonts w:ascii="Century Gothic" w:eastAsia="Times New Roman" w:hAnsi="Century Gothic" w:cs="Arial"/>
          <w:i/>
          <w:iCs/>
          <w:color w:val="5A5A5A"/>
          <w:sz w:val="21"/>
          <w:szCs w:val="21"/>
          <w:lang w:val="it-IT"/>
        </w:rPr>
        <w:t>Ko Matiti te taumata tirotiro o Tāmanuhiri.</w:t>
      </w:r>
    </w:p>
    <w:p w14:paraId="0B412601" w14:textId="3CB24B2C" w:rsidR="008B631A" w:rsidRPr="008B631A" w:rsidRDefault="008B631A" w:rsidP="008B631A">
      <w:pPr>
        <w:spacing w:after="0" w:line="240" w:lineRule="auto"/>
        <w:jc w:val="center"/>
        <w:rPr>
          <w:rFonts w:ascii="Century Gothic" w:eastAsia="Times New Roman" w:hAnsi="Century Gothic" w:cs="Arial"/>
          <w:i/>
          <w:iCs/>
          <w:color w:val="5A5A5A"/>
          <w:sz w:val="21"/>
          <w:szCs w:val="21"/>
          <w:lang w:val="it-IT"/>
        </w:rPr>
      </w:pPr>
      <w:r w:rsidRPr="008B631A">
        <w:rPr>
          <w:rFonts w:ascii="Century Gothic" w:eastAsia="Times New Roman" w:hAnsi="Century Gothic" w:cs="Arial"/>
          <w:i/>
          <w:iCs/>
          <w:color w:val="5A5A5A"/>
          <w:sz w:val="21"/>
          <w:szCs w:val="21"/>
          <w:lang w:val="it-IT"/>
        </w:rPr>
        <w:t xml:space="preserve">Ko </w:t>
      </w:r>
      <w:r w:rsidR="008B1B8A">
        <w:rPr>
          <w:rFonts w:ascii="Century Gothic" w:eastAsia="Times New Roman" w:hAnsi="Century Gothic" w:cs="Arial"/>
          <w:i/>
          <w:iCs/>
          <w:color w:val="5A5A5A"/>
          <w:sz w:val="21"/>
          <w:szCs w:val="21"/>
          <w:lang w:val="it-IT"/>
        </w:rPr>
        <w:t>Ngāi</w:t>
      </w:r>
      <w:r w:rsidRPr="008B631A">
        <w:rPr>
          <w:rFonts w:ascii="Century Gothic" w:eastAsia="Times New Roman" w:hAnsi="Century Gothic" w:cs="Arial"/>
          <w:i/>
          <w:iCs/>
          <w:color w:val="5A5A5A"/>
          <w:sz w:val="21"/>
          <w:szCs w:val="21"/>
          <w:lang w:val="it-IT"/>
        </w:rPr>
        <w:t xml:space="preserve"> Tāmanuhiri te Iwi.</w:t>
      </w:r>
    </w:p>
    <w:p w14:paraId="5D5BBBFE" w14:textId="77777777" w:rsidR="008B631A" w:rsidRPr="008B631A" w:rsidRDefault="008B631A" w:rsidP="008B631A">
      <w:pPr>
        <w:spacing w:after="0" w:line="240" w:lineRule="auto"/>
        <w:jc w:val="center"/>
        <w:rPr>
          <w:rFonts w:ascii="Century Gothic" w:eastAsia="Times New Roman" w:hAnsi="Century Gothic" w:cs="Arial"/>
          <w:i/>
          <w:iCs/>
          <w:color w:val="5A5A5A"/>
          <w:sz w:val="21"/>
          <w:szCs w:val="21"/>
          <w:lang w:val="it-IT"/>
        </w:rPr>
      </w:pPr>
      <w:r w:rsidRPr="008B631A">
        <w:rPr>
          <w:rFonts w:ascii="Century Gothic" w:eastAsia="Times New Roman" w:hAnsi="Century Gothic" w:cs="Arial"/>
          <w:i/>
          <w:iCs/>
          <w:color w:val="5A5A5A"/>
          <w:sz w:val="21"/>
          <w:szCs w:val="21"/>
          <w:lang w:val="it-IT"/>
        </w:rPr>
        <w:t>Ko Ngāti Rangiwaho, ko Ngāi Tawehi, ko Ngāti Kahutia, ko Ngāti Rangitauwhiwhia, ko Ngāti Rangiwaho Matua ngā hapū.</w:t>
      </w:r>
    </w:p>
    <w:p w14:paraId="2347F1FE" w14:textId="77777777" w:rsidR="008B631A" w:rsidRPr="008B631A" w:rsidRDefault="008B631A" w:rsidP="008B631A">
      <w:pPr>
        <w:spacing w:after="0" w:line="240" w:lineRule="auto"/>
        <w:jc w:val="center"/>
        <w:rPr>
          <w:rFonts w:ascii="Century Gothic" w:eastAsia="Times New Roman" w:hAnsi="Century Gothic" w:cs="Arial"/>
          <w:i/>
          <w:iCs/>
          <w:color w:val="5A5A5A"/>
          <w:sz w:val="21"/>
          <w:szCs w:val="21"/>
          <w:lang w:val="it-IT"/>
        </w:rPr>
      </w:pPr>
      <w:r w:rsidRPr="008B631A">
        <w:rPr>
          <w:rFonts w:ascii="Century Gothic" w:eastAsia="Times New Roman" w:hAnsi="Century Gothic" w:cs="Arial"/>
          <w:i/>
          <w:iCs/>
          <w:color w:val="5A5A5A"/>
          <w:sz w:val="21"/>
          <w:szCs w:val="21"/>
          <w:lang w:val="it-IT"/>
        </w:rPr>
        <w:t>Tēna tātau katoa.</w:t>
      </w:r>
    </w:p>
    <w:p w14:paraId="6FEA1866" w14:textId="77777777" w:rsidR="008B631A" w:rsidRPr="00BC2E18" w:rsidRDefault="008B631A" w:rsidP="009E253A">
      <w:pPr>
        <w:pStyle w:val="NoSpacing"/>
        <w:spacing w:line="360" w:lineRule="auto"/>
        <w:rPr>
          <w:rFonts w:ascii="Century Gothic" w:hAnsi="Century Gothic"/>
          <w:sz w:val="21"/>
          <w:szCs w:val="21"/>
          <w:lang w:val="it-IT"/>
        </w:rPr>
      </w:pPr>
    </w:p>
    <w:p w14:paraId="69E00270" w14:textId="65698612" w:rsidR="00681DB2" w:rsidRPr="00BC2E18" w:rsidRDefault="00BB3208" w:rsidP="00B65158">
      <w:pPr>
        <w:pStyle w:val="Heading2"/>
        <w:pBdr>
          <w:bottom w:val="single" w:sz="4" w:space="1" w:color="42AAC2"/>
        </w:pBdr>
        <w:rPr>
          <w:rFonts w:ascii="Century Gothic" w:hAnsi="Century Gothic"/>
          <w:b/>
          <w:bCs/>
          <w:color w:val="1F4D78"/>
          <w:lang w:val="it-IT"/>
        </w:rPr>
      </w:pPr>
      <w:bookmarkStart w:id="4" w:name="_Toc491783037"/>
      <w:r w:rsidRPr="00BC2E18">
        <w:rPr>
          <w:rFonts w:ascii="Century Gothic" w:hAnsi="Century Gothic"/>
          <w:b/>
          <w:bCs/>
          <w:color w:val="1F4D78"/>
          <w:lang w:val="it-IT"/>
        </w:rPr>
        <w:t>Ngā</w:t>
      </w:r>
      <w:r w:rsidR="00DF212D" w:rsidRPr="00BC2E18">
        <w:rPr>
          <w:rFonts w:ascii="Century Gothic" w:hAnsi="Century Gothic"/>
          <w:b/>
          <w:bCs/>
          <w:color w:val="1F4D78"/>
          <w:lang w:val="it-IT"/>
        </w:rPr>
        <w:t>i Tāmanuhiri</w:t>
      </w:r>
      <w:bookmarkEnd w:id="4"/>
    </w:p>
    <w:p w14:paraId="01E7C60A" w14:textId="77777777" w:rsidR="002227AD" w:rsidRPr="00954E28" w:rsidRDefault="002227AD" w:rsidP="009E253A">
      <w:pPr>
        <w:pStyle w:val="NoSpacing"/>
        <w:spacing w:line="360" w:lineRule="auto"/>
        <w:rPr>
          <w:rFonts w:ascii="Century Gothic" w:hAnsi="Century Gothic"/>
          <w:sz w:val="10"/>
          <w:szCs w:val="10"/>
          <w:lang w:val="it-IT"/>
        </w:rPr>
      </w:pPr>
    </w:p>
    <w:p w14:paraId="2C5C2AA6" w14:textId="4431C8F6" w:rsidR="00D232D9" w:rsidRPr="00B858A9" w:rsidRDefault="005864D2" w:rsidP="00432EF9">
      <w:pPr>
        <w:pStyle w:val="NoSpacing"/>
        <w:spacing w:line="360" w:lineRule="auto"/>
        <w:rPr>
          <w:rFonts w:ascii="Century Gothic" w:hAnsi="Century Gothic" w:cs="Arial"/>
          <w:sz w:val="21"/>
          <w:szCs w:val="21"/>
          <w:shd w:val="clear" w:color="auto" w:fill="FAFAFA"/>
        </w:rPr>
      </w:pPr>
      <w:r w:rsidRPr="00711801">
        <w:rPr>
          <w:rFonts w:ascii="Century Gothic" w:hAnsi="Century Gothic" w:cs="Arial"/>
          <w:sz w:val="21"/>
          <w:szCs w:val="21"/>
          <w:shd w:val="clear" w:color="auto" w:fill="FFFFFF"/>
          <w:lang w:val="en-NZ"/>
        </w:rPr>
        <w:t xml:space="preserve">This report was commissioned by </w:t>
      </w:r>
      <w:proofErr w:type="spellStart"/>
      <w:r w:rsidR="00153C9D" w:rsidRPr="00711801">
        <w:rPr>
          <w:rFonts w:ascii="Century Gothic" w:hAnsi="Century Gothic" w:cs="Arial"/>
          <w:sz w:val="21"/>
          <w:szCs w:val="21"/>
          <w:shd w:val="clear" w:color="auto" w:fill="FFFFFF"/>
          <w:lang w:val="en-NZ"/>
        </w:rPr>
        <w:t>Ngā</w:t>
      </w:r>
      <w:r w:rsidR="008B631A" w:rsidRPr="00711801">
        <w:rPr>
          <w:rFonts w:ascii="Century Gothic" w:hAnsi="Century Gothic" w:cs="Arial"/>
          <w:sz w:val="21"/>
          <w:szCs w:val="21"/>
          <w:shd w:val="clear" w:color="auto" w:fill="FFFFFF"/>
          <w:lang w:val="en-NZ"/>
        </w:rPr>
        <w:t>i</w:t>
      </w:r>
      <w:proofErr w:type="spellEnd"/>
      <w:r w:rsidR="008B631A" w:rsidRPr="00711801">
        <w:rPr>
          <w:rFonts w:ascii="Century Gothic" w:hAnsi="Century Gothic" w:cs="Arial"/>
          <w:sz w:val="21"/>
          <w:szCs w:val="21"/>
          <w:shd w:val="clear" w:color="auto" w:fill="FFFFFF"/>
          <w:lang w:val="en-NZ"/>
        </w:rPr>
        <w:t xml:space="preserve"> </w:t>
      </w:r>
      <w:proofErr w:type="spellStart"/>
      <w:r w:rsidRPr="00711801">
        <w:rPr>
          <w:rFonts w:ascii="Century Gothic" w:hAnsi="Century Gothic" w:cs="Arial"/>
          <w:sz w:val="21"/>
          <w:szCs w:val="21"/>
          <w:shd w:val="clear" w:color="auto" w:fill="FFFFFF"/>
          <w:lang w:val="en-NZ"/>
        </w:rPr>
        <w:t>Tāmanuhiri</w:t>
      </w:r>
      <w:proofErr w:type="spellEnd"/>
      <w:r w:rsidRPr="00711801">
        <w:rPr>
          <w:rFonts w:ascii="Century Gothic" w:hAnsi="Century Gothic" w:cs="Arial"/>
          <w:sz w:val="21"/>
          <w:szCs w:val="21"/>
          <w:shd w:val="clear" w:color="auto" w:fill="FFFFFF"/>
          <w:lang w:val="en-NZ"/>
        </w:rPr>
        <w:t xml:space="preserve"> </w:t>
      </w:r>
      <w:proofErr w:type="spellStart"/>
      <w:r w:rsidR="008B631A" w:rsidRPr="00711801">
        <w:rPr>
          <w:rFonts w:ascii="Century Gothic" w:hAnsi="Century Gothic" w:cs="Arial"/>
          <w:sz w:val="21"/>
          <w:szCs w:val="21"/>
          <w:shd w:val="clear" w:color="auto" w:fill="FFFFFF"/>
          <w:lang w:val="en-NZ"/>
        </w:rPr>
        <w:t>Whānui</w:t>
      </w:r>
      <w:proofErr w:type="spellEnd"/>
      <w:r w:rsidRPr="00711801">
        <w:rPr>
          <w:rFonts w:ascii="Century Gothic" w:hAnsi="Century Gothic" w:cs="Arial"/>
          <w:sz w:val="21"/>
          <w:szCs w:val="21"/>
          <w:shd w:val="clear" w:color="auto" w:fill="FFFFFF"/>
          <w:lang w:val="en-NZ"/>
        </w:rPr>
        <w:t xml:space="preserve"> Trust </w:t>
      </w:r>
      <w:r w:rsidR="00D232D9" w:rsidRPr="00711801">
        <w:rPr>
          <w:rFonts w:ascii="Century Gothic" w:hAnsi="Century Gothic" w:cs="Arial"/>
          <w:sz w:val="21"/>
          <w:szCs w:val="21"/>
          <w:shd w:val="clear" w:color="auto" w:fill="FFFFFF"/>
          <w:lang w:val="en-NZ"/>
        </w:rPr>
        <w:t xml:space="preserve">(NTWT hereafter) </w:t>
      </w:r>
      <w:r w:rsidRPr="00711801">
        <w:rPr>
          <w:rFonts w:ascii="Century Gothic" w:hAnsi="Century Gothic" w:cs="Arial"/>
          <w:sz w:val="21"/>
          <w:szCs w:val="21"/>
          <w:shd w:val="clear" w:color="auto" w:fill="FFFFFF"/>
          <w:lang w:val="en-NZ"/>
        </w:rPr>
        <w:t xml:space="preserve">to provide a socio-demographic profile of </w:t>
      </w:r>
      <w:proofErr w:type="spellStart"/>
      <w:proofErr w:type="gramStart"/>
      <w:r w:rsidR="00047DBD" w:rsidRPr="00711801">
        <w:rPr>
          <w:rFonts w:ascii="Century Gothic" w:hAnsi="Century Gothic" w:cs="Arial"/>
          <w:sz w:val="21"/>
          <w:szCs w:val="21"/>
          <w:shd w:val="clear" w:color="auto" w:fill="FFFFFF"/>
          <w:lang w:val="en-NZ"/>
        </w:rPr>
        <w:t>te</w:t>
      </w:r>
      <w:proofErr w:type="spellEnd"/>
      <w:proofErr w:type="gramEnd"/>
      <w:r w:rsidR="00047DBD" w:rsidRPr="00711801">
        <w:rPr>
          <w:rFonts w:ascii="Century Gothic" w:hAnsi="Century Gothic" w:cs="Arial"/>
          <w:sz w:val="21"/>
          <w:szCs w:val="21"/>
          <w:shd w:val="clear" w:color="auto" w:fill="FFFFFF"/>
          <w:lang w:val="en-NZ"/>
        </w:rPr>
        <w:t xml:space="preserve"> reo Māori</w:t>
      </w:r>
      <w:r w:rsidRPr="00711801">
        <w:rPr>
          <w:rFonts w:ascii="Century Gothic" w:hAnsi="Century Gothic" w:cs="Arial"/>
          <w:sz w:val="21"/>
          <w:szCs w:val="21"/>
          <w:shd w:val="clear" w:color="auto" w:fill="FFFFFF"/>
          <w:lang w:val="en-NZ"/>
        </w:rPr>
        <w:t xml:space="preserve"> speakers within </w:t>
      </w:r>
      <w:proofErr w:type="spellStart"/>
      <w:r w:rsidRPr="00711801">
        <w:rPr>
          <w:rFonts w:ascii="Century Gothic" w:hAnsi="Century Gothic" w:cs="Arial"/>
          <w:sz w:val="21"/>
          <w:szCs w:val="21"/>
          <w:shd w:val="clear" w:color="auto" w:fill="FFFFFF"/>
          <w:lang w:val="en-NZ"/>
        </w:rPr>
        <w:t>N</w:t>
      </w:r>
      <w:r w:rsidR="00153C9D" w:rsidRPr="00711801">
        <w:rPr>
          <w:rFonts w:ascii="Century Gothic" w:hAnsi="Century Gothic" w:cs="Arial"/>
          <w:sz w:val="21"/>
          <w:szCs w:val="21"/>
          <w:shd w:val="clear" w:color="auto" w:fill="FFFFFF"/>
          <w:lang w:val="en-NZ"/>
        </w:rPr>
        <w:t>gā</w:t>
      </w:r>
      <w:r w:rsidR="008B631A" w:rsidRPr="00711801">
        <w:rPr>
          <w:rFonts w:ascii="Century Gothic" w:hAnsi="Century Gothic" w:cs="Arial"/>
          <w:sz w:val="21"/>
          <w:szCs w:val="21"/>
          <w:shd w:val="clear" w:color="auto" w:fill="FFFFFF"/>
          <w:lang w:val="en-NZ"/>
        </w:rPr>
        <w:t>i</w:t>
      </w:r>
      <w:proofErr w:type="spellEnd"/>
      <w:r w:rsidR="008B631A" w:rsidRPr="00711801">
        <w:rPr>
          <w:rFonts w:ascii="Century Gothic" w:hAnsi="Century Gothic" w:cs="Arial"/>
          <w:sz w:val="21"/>
          <w:szCs w:val="21"/>
          <w:shd w:val="clear" w:color="auto" w:fill="FFFFFF"/>
          <w:lang w:val="en-NZ"/>
        </w:rPr>
        <w:t xml:space="preserve"> </w:t>
      </w:r>
      <w:proofErr w:type="spellStart"/>
      <w:r w:rsidR="008B631A" w:rsidRPr="00711801">
        <w:rPr>
          <w:rFonts w:ascii="Century Gothic" w:hAnsi="Century Gothic" w:cs="Arial"/>
          <w:sz w:val="21"/>
          <w:szCs w:val="21"/>
          <w:shd w:val="clear" w:color="auto" w:fill="FFFFFF"/>
          <w:lang w:val="en-NZ"/>
        </w:rPr>
        <w:t>Tāmanuhiri</w:t>
      </w:r>
      <w:proofErr w:type="spellEnd"/>
      <w:r w:rsidR="008B631A" w:rsidRPr="00711801">
        <w:rPr>
          <w:rFonts w:ascii="Century Gothic" w:hAnsi="Century Gothic" w:cs="Arial"/>
          <w:sz w:val="21"/>
          <w:szCs w:val="21"/>
          <w:shd w:val="clear" w:color="auto" w:fill="FFFFFF"/>
          <w:lang w:val="en-NZ"/>
        </w:rPr>
        <w:t xml:space="preserve"> iwi. </w:t>
      </w:r>
      <w:proofErr w:type="spellStart"/>
      <w:r w:rsidR="00153C9D" w:rsidRPr="00D232D9">
        <w:rPr>
          <w:rFonts w:ascii="Century Gothic" w:hAnsi="Century Gothic" w:cs="Arial"/>
          <w:sz w:val="21"/>
          <w:szCs w:val="21"/>
          <w:shd w:val="clear" w:color="auto" w:fill="FFFFFF"/>
        </w:rPr>
        <w:t>Ngā</w:t>
      </w:r>
      <w:r w:rsidRPr="00D232D9">
        <w:rPr>
          <w:rFonts w:ascii="Century Gothic" w:hAnsi="Century Gothic" w:cs="Arial"/>
          <w:sz w:val="21"/>
          <w:szCs w:val="21"/>
          <w:shd w:val="clear" w:color="auto" w:fill="FFFFFF"/>
        </w:rPr>
        <w:t>i</w:t>
      </w:r>
      <w:proofErr w:type="spellEnd"/>
      <w:r w:rsidRPr="00D232D9">
        <w:rPr>
          <w:rFonts w:ascii="Century Gothic" w:hAnsi="Century Gothic" w:cs="Arial"/>
          <w:sz w:val="21"/>
          <w:szCs w:val="21"/>
          <w:shd w:val="clear" w:color="auto" w:fill="FFFFFF"/>
        </w:rPr>
        <w:t xml:space="preserve"> </w:t>
      </w:r>
      <w:proofErr w:type="spellStart"/>
      <w:r w:rsidRPr="00D232D9">
        <w:rPr>
          <w:rFonts w:ascii="Century Gothic" w:hAnsi="Century Gothic" w:cs="Arial"/>
          <w:sz w:val="21"/>
          <w:szCs w:val="21"/>
          <w:shd w:val="clear" w:color="auto" w:fill="FFFFFF"/>
        </w:rPr>
        <w:t>Tāmanuhiri</w:t>
      </w:r>
      <w:proofErr w:type="spellEnd"/>
      <w:r w:rsidRPr="00D232D9">
        <w:rPr>
          <w:rFonts w:ascii="Century Gothic" w:hAnsi="Century Gothic" w:cs="Arial"/>
          <w:sz w:val="21"/>
          <w:szCs w:val="21"/>
          <w:shd w:val="clear" w:color="auto" w:fill="FFFFFF"/>
        </w:rPr>
        <w:t xml:space="preserve"> </w:t>
      </w:r>
      <w:r w:rsidR="008B631A" w:rsidRPr="00D232D9">
        <w:rPr>
          <w:rFonts w:ascii="Century Gothic" w:hAnsi="Century Gothic" w:cs="Arial"/>
          <w:sz w:val="21"/>
          <w:szCs w:val="21"/>
          <w:shd w:val="clear" w:color="auto" w:fill="FFFFFF"/>
        </w:rPr>
        <w:t xml:space="preserve">are descended from the eponymous </w:t>
      </w:r>
      <w:proofErr w:type="spellStart"/>
      <w:r w:rsidR="008B631A" w:rsidRPr="00D232D9">
        <w:rPr>
          <w:rFonts w:ascii="Century Gothic" w:hAnsi="Century Gothic" w:cs="Arial"/>
          <w:sz w:val="21"/>
          <w:szCs w:val="21"/>
          <w:shd w:val="clear" w:color="auto" w:fill="FFFFFF"/>
        </w:rPr>
        <w:t>t</w:t>
      </w:r>
      <w:r w:rsidR="00E242CB" w:rsidRPr="00D232D9">
        <w:rPr>
          <w:rFonts w:ascii="Century Gothic" w:hAnsi="Century Gothic" w:cs="Arial"/>
          <w:sz w:val="21"/>
          <w:szCs w:val="21"/>
          <w:shd w:val="clear" w:color="auto" w:fill="FFFFFF"/>
        </w:rPr>
        <w:t>ī</w:t>
      </w:r>
      <w:r w:rsidR="008B631A" w:rsidRPr="00D232D9">
        <w:rPr>
          <w:rFonts w:ascii="Century Gothic" w:hAnsi="Century Gothic" w:cs="Arial"/>
          <w:sz w:val="21"/>
          <w:szCs w:val="21"/>
          <w:shd w:val="clear" w:color="auto" w:fill="FFFFFF"/>
        </w:rPr>
        <w:t>puna</w:t>
      </w:r>
      <w:proofErr w:type="spellEnd"/>
      <w:r w:rsidR="008B631A" w:rsidRPr="00D232D9">
        <w:rPr>
          <w:rFonts w:ascii="Century Gothic" w:hAnsi="Century Gothic" w:cs="Arial"/>
          <w:sz w:val="21"/>
          <w:szCs w:val="21"/>
          <w:shd w:val="clear" w:color="auto" w:fill="FFFFFF"/>
        </w:rPr>
        <w:t xml:space="preserve"> </w:t>
      </w:r>
      <w:proofErr w:type="spellStart"/>
      <w:r w:rsidR="008B631A" w:rsidRPr="00D232D9">
        <w:rPr>
          <w:rFonts w:ascii="Century Gothic" w:hAnsi="Century Gothic" w:cs="Arial"/>
          <w:sz w:val="21"/>
          <w:szCs w:val="21"/>
          <w:shd w:val="clear" w:color="auto" w:fill="FFFFFF"/>
        </w:rPr>
        <w:t>Tāmanuhiri</w:t>
      </w:r>
      <w:proofErr w:type="spellEnd"/>
      <w:r w:rsidR="008B631A" w:rsidRPr="00D232D9">
        <w:rPr>
          <w:rFonts w:ascii="Century Gothic" w:hAnsi="Century Gothic" w:cs="Arial"/>
          <w:sz w:val="21"/>
          <w:szCs w:val="21"/>
          <w:shd w:val="clear" w:color="auto" w:fill="FFFFFF"/>
        </w:rPr>
        <w:t xml:space="preserve"> who was born at </w:t>
      </w:r>
      <w:proofErr w:type="spellStart"/>
      <w:r w:rsidR="008B631A" w:rsidRPr="00D232D9">
        <w:rPr>
          <w:rFonts w:ascii="Century Gothic" w:hAnsi="Century Gothic" w:cs="Arial"/>
          <w:sz w:val="21"/>
          <w:szCs w:val="21"/>
          <w:shd w:val="clear" w:color="auto" w:fill="FFFFFF"/>
        </w:rPr>
        <w:t>Maraetaha</w:t>
      </w:r>
      <w:proofErr w:type="spellEnd"/>
      <w:r w:rsidR="008B631A" w:rsidRPr="00D232D9">
        <w:rPr>
          <w:rFonts w:ascii="Century Gothic" w:hAnsi="Century Gothic" w:cs="Arial"/>
          <w:sz w:val="21"/>
          <w:szCs w:val="21"/>
          <w:shd w:val="clear" w:color="auto" w:fill="FFFFFF"/>
        </w:rPr>
        <w:t xml:space="preserve"> and was a </w:t>
      </w:r>
      <w:r w:rsidR="008B631A" w:rsidRPr="00B858A9">
        <w:rPr>
          <w:rFonts w:ascii="Century Gothic" w:hAnsi="Century Gothic" w:cs="Arial"/>
          <w:sz w:val="21"/>
          <w:szCs w:val="21"/>
          <w:shd w:val="clear" w:color="auto" w:fill="FFFFFF"/>
        </w:rPr>
        <w:t xml:space="preserve">descendant of </w:t>
      </w:r>
      <w:proofErr w:type="spellStart"/>
      <w:r w:rsidR="008B631A" w:rsidRPr="00B858A9">
        <w:rPr>
          <w:rFonts w:ascii="Century Gothic" w:hAnsi="Century Gothic" w:cs="Arial"/>
          <w:sz w:val="21"/>
          <w:szCs w:val="21"/>
          <w:shd w:val="clear" w:color="auto" w:fill="FFFFFF"/>
        </w:rPr>
        <w:t>Paikea</w:t>
      </w:r>
      <w:proofErr w:type="spellEnd"/>
      <w:r w:rsidR="008B631A" w:rsidRPr="00B858A9">
        <w:rPr>
          <w:rFonts w:ascii="Century Gothic" w:hAnsi="Century Gothic" w:cs="Arial"/>
          <w:sz w:val="21"/>
          <w:szCs w:val="21"/>
          <w:shd w:val="clear" w:color="auto" w:fill="FFFFFF"/>
        </w:rPr>
        <w:t xml:space="preserve"> and </w:t>
      </w:r>
      <w:proofErr w:type="spellStart"/>
      <w:r w:rsidR="008B631A" w:rsidRPr="00B858A9">
        <w:rPr>
          <w:rFonts w:ascii="Century Gothic" w:hAnsi="Century Gothic" w:cs="Arial"/>
          <w:sz w:val="21"/>
          <w:szCs w:val="21"/>
          <w:shd w:val="clear" w:color="auto" w:fill="FFFFFF"/>
        </w:rPr>
        <w:t>Tahupōtiki</w:t>
      </w:r>
      <w:proofErr w:type="spellEnd"/>
      <w:r w:rsidR="008B631A" w:rsidRPr="00B858A9">
        <w:rPr>
          <w:rFonts w:ascii="Century Gothic" w:hAnsi="Century Gothic" w:cs="Arial"/>
          <w:sz w:val="21"/>
          <w:szCs w:val="21"/>
          <w:shd w:val="clear" w:color="auto" w:fill="FFFFFF"/>
        </w:rPr>
        <w:t xml:space="preserve">. The </w:t>
      </w:r>
      <w:proofErr w:type="spellStart"/>
      <w:r w:rsidR="008B631A" w:rsidRPr="00B858A9">
        <w:rPr>
          <w:rFonts w:ascii="Century Gothic" w:hAnsi="Century Gothic" w:cs="Arial"/>
          <w:sz w:val="21"/>
          <w:szCs w:val="21"/>
          <w:shd w:val="clear" w:color="auto" w:fill="FFFFFF"/>
        </w:rPr>
        <w:t>rohe</w:t>
      </w:r>
      <w:proofErr w:type="spellEnd"/>
      <w:r w:rsidR="008B631A" w:rsidRPr="00B858A9">
        <w:rPr>
          <w:rFonts w:ascii="Century Gothic" w:hAnsi="Century Gothic" w:cs="Arial"/>
          <w:sz w:val="21"/>
          <w:szCs w:val="21"/>
          <w:shd w:val="clear" w:color="auto" w:fill="FFFFFF"/>
        </w:rPr>
        <w:t xml:space="preserve"> of </w:t>
      </w:r>
      <w:proofErr w:type="spellStart"/>
      <w:r w:rsidR="00153C9D" w:rsidRPr="00B858A9">
        <w:rPr>
          <w:rFonts w:ascii="Century Gothic" w:hAnsi="Century Gothic" w:cs="Arial"/>
          <w:sz w:val="21"/>
          <w:szCs w:val="21"/>
          <w:shd w:val="clear" w:color="auto" w:fill="FFFFFF"/>
        </w:rPr>
        <w:t>Ngā</w:t>
      </w:r>
      <w:r w:rsidR="008B631A" w:rsidRPr="00B858A9">
        <w:rPr>
          <w:rFonts w:ascii="Century Gothic" w:hAnsi="Century Gothic" w:cs="Arial"/>
          <w:sz w:val="21"/>
          <w:szCs w:val="21"/>
          <w:shd w:val="clear" w:color="auto" w:fill="FFFFFF"/>
        </w:rPr>
        <w:t>i</w:t>
      </w:r>
      <w:proofErr w:type="spellEnd"/>
      <w:r w:rsidR="008B631A" w:rsidRPr="00B858A9">
        <w:rPr>
          <w:rFonts w:ascii="Century Gothic" w:hAnsi="Century Gothic" w:cs="Arial"/>
          <w:sz w:val="21"/>
          <w:szCs w:val="21"/>
          <w:shd w:val="clear" w:color="auto" w:fill="FFFFFF"/>
        </w:rPr>
        <w:t xml:space="preserve"> </w:t>
      </w:r>
      <w:proofErr w:type="spellStart"/>
      <w:r w:rsidR="008B631A" w:rsidRPr="00B858A9">
        <w:rPr>
          <w:rFonts w:ascii="Century Gothic" w:hAnsi="Century Gothic" w:cs="Arial"/>
          <w:sz w:val="21"/>
          <w:szCs w:val="21"/>
          <w:shd w:val="clear" w:color="auto" w:fill="FFFFFF"/>
        </w:rPr>
        <w:t>Tāmanuhiri</w:t>
      </w:r>
      <w:proofErr w:type="spellEnd"/>
      <w:r w:rsidR="008B631A" w:rsidRPr="00B858A9">
        <w:rPr>
          <w:rFonts w:ascii="Century Gothic" w:hAnsi="Century Gothic" w:cs="Arial"/>
          <w:sz w:val="21"/>
          <w:szCs w:val="21"/>
          <w:shd w:val="clear" w:color="auto" w:fill="FFFFFF"/>
        </w:rPr>
        <w:t xml:space="preserve"> </w:t>
      </w:r>
      <w:r w:rsidRPr="00B858A9">
        <w:rPr>
          <w:rFonts w:ascii="Century Gothic" w:hAnsi="Century Gothic" w:cs="Arial"/>
          <w:sz w:val="21"/>
          <w:szCs w:val="21"/>
          <w:shd w:val="clear" w:color="auto" w:fill="FFFFFF"/>
        </w:rPr>
        <w:t xml:space="preserve">is </w:t>
      </w:r>
      <w:r w:rsidR="008B631A" w:rsidRPr="00B858A9">
        <w:rPr>
          <w:rFonts w:ascii="Century Gothic" w:hAnsi="Century Gothic" w:cs="Arial"/>
          <w:sz w:val="21"/>
          <w:szCs w:val="21"/>
          <w:shd w:val="clear" w:color="auto" w:fill="FFFFFF"/>
        </w:rPr>
        <w:t xml:space="preserve">located in the </w:t>
      </w:r>
      <w:proofErr w:type="spellStart"/>
      <w:r w:rsidR="008B631A" w:rsidRPr="00B858A9">
        <w:rPr>
          <w:rFonts w:ascii="Century Gothic" w:hAnsi="Century Gothic" w:cs="Arial"/>
          <w:sz w:val="21"/>
          <w:szCs w:val="21"/>
          <w:shd w:val="clear" w:color="auto" w:fill="FFFFFF"/>
        </w:rPr>
        <w:t>Gisborne</w:t>
      </w:r>
      <w:proofErr w:type="spellEnd"/>
      <w:r w:rsidR="008B631A" w:rsidRPr="00B858A9">
        <w:rPr>
          <w:rFonts w:ascii="Century Gothic" w:hAnsi="Century Gothic" w:cs="Arial"/>
          <w:sz w:val="21"/>
          <w:szCs w:val="21"/>
          <w:shd w:val="clear" w:color="auto" w:fill="FFFFFF"/>
        </w:rPr>
        <w:t xml:space="preserve"> Region and </w:t>
      </w:r>
      <w:r w:rsidR="00153C9D" w:rsidRPr="00B858A9">
        <w:rPr>
          <w:rFonts w:ascii="Century Gothic" w:hAnsi="Century Gothic" w:cs="Arial"/>
          <w:sz w:val="21"/>
          <w:szCs w:val="21"/>
          <w:shd w:val="clear" w:color="auto" w:fill="FFFFFF"/>
        </w:rPr>
        <w:t>spans</w:t>
      </w:r>
      <w:r w:rsidR="00B858A9">
        <w:rPr>
          <w:rFonts w:ascii="Century Gothic" w:hAnsi="Century Gothic" w:cs="Arial"/>
          <w:sz w:val="21"/>
          <w:szCs w:val="21"/>
          <w:shd w:val="clear" w:color="auto" w:fill="FFFFFF"/>
        </w:rPr>
        <w:t xml:space="preserve"> the coast from </w:t>
      </w:r>
      <w:proofErr w:type="spellStart"/>
      <w:r w:rsidR="00B858A9">
        <w:rPr>
          <w:rFonts w:ascii="Century Gothic" w:hAnsi="Century Gothic" w:cs="Arial"/>
          <w:sz w:val="21"/>
          <w:szCs w:val="21"/>
          <w:shd w:val="clear" w:color="auto" w:fill="FFFFFF"/>
        </w:rPr>
        <w:t>Koputūtea</w:t>
      </w:r>
      <w:proofErr w:type="spellEnd"/>
      <w:r w:rsidR="00B858A9">
        <w:rPr>
          <w:rFonts w:ascii="Century Gothic" w:hAnsi="Century Gothic" w:cs="Arial"/>
          <w:sz w:val="21"/>
          <w:szCs w:val="21"/>
          <w:shd w:val="clear" w:color="auto" w:fill="FFFFFF"/>
        </w:rPr>
        <w:t xml:space="preserve"> in the north to </w:t>
      </w:r>
      <w:proofErr w:type="spellStart"/>
      <w:r w:rsidR="00B858A9">
        <w:rPr>
          <w:rFonts w:ascii="Century Gothic" w:hAnsi="Century Gothic" w:cs="Arial"/>
          <w:sz w:val="21"/>
          <w:szCs w:val="21"/>
          <w:shd w:val="clear" w:color="auto" w:fill="FFFFFF"/>
        </w:rPr>
        <w:t>Paritū</w:t>
      </w:r>
      <w:proofErr w:type="spellEnd"/>
      <w:r w:rsidR="00B858A9">
        <w:rPr>
          <w:rFonts w:ascii="Century Gothic" w:hAnsi="Century Gothic" w:cs="Arial"/>
          <w:sz w:val="21"/>
          <w:szCs w:val="21"/>
          <w:shd w:val="clear" w:color="auto" w:fill="FFFFFF"/>
        </w:rPr>
        <w:t xml:space="preserve"> in the south</w:t>
      </w:r>
      <w:r w:rsidRPr="00B858A9">
        <w:rPr>
          <w:rFonts w:ascii="Century Gothic" w:hAnsi="Century Gothic" w:cs="Arial"/>
          <w:sz w:val="21"/>
          <w:szCs w:val="21"/>
          <w:shd w:val="clear" w:color="auto" w:fill="FFFFFF"/>
        </w:rPr>
        <w:t>.</w:t>
      </w:r>
      <w:r w:rsidR="008B631A" w:rsidRPr="00B858A9">
        <w:rPr>
          <w:rFonts w:ascii="Century Gothic" w:hAnsi="Century Gothic" w:cs="Arial"/>
          <w:sz w:val="21"/>
          <w:szCs w:val="21"/>
          <w:shd w:val="clear" w:color="auto" w:fill="FFFFFF"/>
        </w:rPr>
        <w:t xml:space="preserve"> The preceding </w:t>
      </w:r>
      <w:proofErr w:type="spellStart"/>
      <w:r w:rsidR="008B631A" w:rsidRPr="00B858A9">
        <w:rPr>
          <w:rFonts w:ascii="Century Gothic" w:hAnsi="Century Gothic" w:cs="Arial"/>
          <w:sz w:val="21"/>
          <w:szCs w:val="21"/>
          <w:shd w:val="clear" w:color="auto" w:fill="FFFFFF"/>
        </w:rPr>
        <w:t>pepehā</w:t>
      </w:r>
      <w:proofErr w:type="spellEnd"/>
      <w:r w:rsidR="008B631A" w:rsidRPr="00B858A9">
        <w:rPr>
          <w:rFonts w:ascii="Century Gothic" w:hAnsi="Century Gothic" w:cs="Arial"/>
          <w:sz w:val="21"/>
          <w:szCs w:val="21"/>
          <w:shd w:val="clear" w:color="auto" w:fill="FFFFFF"/>
        </w:rPr>
        <w:t xml:space="preserve"> identifies the five extant </w:t>
      </w:r>
      <w:proofErr w:type="spellStart"/>
      <w:r w:rsidR="008B631A" w:rsidRPr="00B858A9">
        <w:rPr>
          <w:rFonts w:ascii="Century Gothic" w:hAnsi="Century Gothic" w:cs="Arial"/>
          <w:sz w:val="21"/>
          <w:szCs w:val="21"/>
          <w:shd w:val="clear" w:color="auto" w:fill="FFFFFF"/>
        </w:rPr>
        <w:t>hapū</w:t>
      </w:r>
      <w:proofErr w:type="spellEnd"/>
      <w:r w:rsidR="008B631A" w:rsidRPr="00B858A9">
        <w:rPr>
          <w:rFonts w:ascii="Century Gothic" w:hAnsi="Century Gothic" w:cs="Arial"/>
          <w:sz w:val="21"/>
          <w:szCs w:val="21"/>
          <w:shd w:val="clear" w:color="auto" w:fill="FFFFFF"/>
        </w:rPr>
        <w:t xml:space="preserve"> of </w:t>
      </w:r>
      <w:proofErr w:type="spellStart"/>
      <w:r w:rsidR="008B631A" w:rsidRPr="00B858A9">
        <w:rPr>
          <w:rFonts w:ascii="Century Gothic" w:hAnsi="Century Gothic" w:cs="Arial"/>
          <w:sz w:val="21"/>
          <w:szCs w:val="21"/>
          <w:shd w:val="clear" w:color="auto" w:fill="FFFFFF"/>
        </w:rPr>
        <w:t>Tāmanuhiri</w:t>
      </w:r>
      <w:proofErr w:type="spellEnd"/>
      <w:r w:rsidR="008B631A" w:rsidRPr="00B858A9">
        <w:rPr>
          <w:rFonts w:ascii="Century Gothic" w:hAnsi="Century Gothic" w:cs="Arial"/>
          <w:sz w:val="21"/>
          <w:szCs w:val="21"/>
          <w:shd w:val="clear" w:color="auto" w:fill="FFFFFF"/>
        </w:rPr>
        <w:t xml:space="preserve"> (</w:t>
      </w:r>
      <w:proofErr w:type="spellStart"/>
      <w:r w:rsidR="008B631A" w:rsidRPr="00B858A9">
        <w:rPr>
          <w:rFonts w:ascii="Century Gothic" w:eastAsia="Times New Roman" w:hAnsi="Century Gothic" w:cs="Arial"/>
          <w:sz w:val="21"/>
          <w:szCs w:val="21"/>
        </w:rPr>
        <w:t>Ngāti</w:t>
      </w:r>
      <w:proofErr w:type="spellEnd"/>
      <w:r w:rsidR="008B631A" w:rsidRPr="00B858A9">
        <w:rPr>
          <w:rFonts w:ascii="Century Gothic" w:eastAsia="Times New Roman" w:hAnsi="Century Gothic" w:cs="Arial"/>
          <w:sz w:val="21"/>
          <w:szCs w:val="21"/>
        </w:rPr>
        <w:t xml:space="preserve"> </w:t>
      </w:r>
      <w:proofErr w:type="spellStart"/>
      <w:r w:rsidR="008B631A" w:rsidRPr="00B858A9">
        <w:rPr>
          <w:rFonts w:ascii="Century Gothic" w:eastAsia="Times New Roman" w:hAnsi="Century Gothic" w:cs="Arial"/>
          <w:sz w:val="21"/>
          <w:szCs w:val="21"/>
        </w:rPr>
        <w:t>Rangiwaho</w:t>
      </w:r>
      <w:proofErr w:type="spellEnd"/>
      <w:r w:rsidR="008B631A" w:rsidRPr="00B858A9">
        <w:rPr>
          <w:rFonts w:ascii="Century Gothic" w:eastAsia="Times New Roman" w:hAnsi="Century Gothic" w:cs="Arial"/>
          <w:sz w:val="21"/>
          <w:szCs w:val="21"/>
        </w:rPr>
        <w:t xml:space="preserve">, </w:t>
      </w:r>
      <w:proofErr w:type="spellStart"/>
      <w:r w:rsidR="008B631A" w:rsidRPr="00B858A9">
        <w:rPr>
          <w:rFonts w:ascii="Century Gothic" w:eastAsia="Times New Roman" w:hAnsi="Century Gothic" w:cs="Arial"/>
          <w:sz w:val="21"/>
          <w:szCs w:val="21"/>
        </w:rPr>
        <w:t>Ngāi</w:t>
      </w:r>
      <w:proofErr w:type="spellEnd"/>
      <w:r w:rsidR="008B631A" w:rsidRPr="00B858A9">
        <w:rPr>
          <w:rFonts w:ascii="Century Gothic" w:eastAsia="Times New Roman" w:hAnsi="Century Gothic" w:cs="Arial"/>
          <w:sz w:val="21"/>
          <w:szCs w:val="21"/>
        </w:rPr>
        <w:t xml:space="preserve"> </w:t>
      </w:r>
      <w:proofErr w:type="spellStart"/>
      <w:r w:rsidR="008B631A" w:rsidRPr="00B858A9">
        <w:rPr>
          <w:rFonts w:ascii="Century Gothic" w:eastAsia="Times New Roman" w:hAnsi="Century Gothic" w:cs="Arial"/>
          <w:sz w:val="21"/>
          <w:szCs w:val="21"/>
        </w:rPr>
        <w:t>Tawehi</w:t>
      </w:r>
      <w:proofErr w:type="spellEnd"/>
      <w:r w:rsidR="008B631A" w:rsidRPr="00B858A9">
        <w:rPr>
          <w:rFonts w:ascii="Century Gothic" w:eastAsia="Times New Roman" w:hAnsi="Century Gothic" w:cs="Arial"/>
          <w:sz w:val="21"/>
          <w:szCs w:val="21"/>
        </w:rPr>
        <w:t xml:space="preserve">, </w:t>
      </w:r>
      <w:proofErr w:type="spellStart"/>
      <w:r w:rsidR="008B631A" w:rsidRPr="00B858A9">
        <w:rPr>
          <w:rFonts w:ascii="Century Gothic" w:eastAsia="Times New Roman" w:hAnsi="Century Gothic" w:cs="Arial"/>
          <w:sz w:val="21"/>
          <w:szCs w:val="21"/>
        </w:rPr>
        <w:t>Ngāti</w:t>
      </w:r>
      <w:proofErr w:type="spellEnd"/>
      <w:r w:rsidR="008B631A" w:rsidRPr="00B858A9">
        <w:rPr>
          <w:rFonts w:ascii="Century Gothic" w:eastAsia="Times New Roman" w:hAnsi="Century Gothic" w:cs="Arial"/>
          <w:sz w:val="21"/>
          <w:szCs w:val="21"/>
        </w:rPr>
        <w:t xml:space="preserve"> </w:t>
      </w:r>
      <w:proofErr w:type="spellStart"/>
      <w:r w:rsidR="008B631A" w:rsidRPr="00B858A9">
        <w:rPr>
          <w:rFonts w:ascii="Century Gothic" w:eastAsia="Times New Roman" w:hAnsi="Century Gothic" w:cs="Arial"/>
          <w:sz w:val="21"/>
          <w:szCs w:val="21"/>
        </w:rPr>
        <w:t>Kahutia</w:t>
      </w:r>
      <w:proofErr w:type="spellEnd"/>
      <w:r w:rsidR="008B631A" w:rsidRPr="00B858A9">
        <w:rPr>
          <w:rFonts w:ascii="Century Gothic" w:eastAsia="Times New Roman" w:hAnsi="Century Gothic" w:cs="Arial"/>
          <w:sz w:val="21"/>
          <w:szCs w:val="21"/>
        </w:rPr>
        <w:t xml:space="preserve">, </w:t>
      </w:r>
      <w:proofErr w:type="spellStart"/>
      <w:r w:rsidR="008B631A" w:rsidRPr="00B858A9">
        <w:rPr>
          <w:rFonts w:ascii="Century Gothic" w:eastAsia="Times New Roman" w:hAnsi="Century Gothic" w:cs="Arial"/>
          <w:sz w:val="21"/>
          <w:szCs w:val="21"/>
        </w:rPr>
        <w:t>Ngāti</w:t>
      </w:r>
      <w:proofErr w:type="spellEnd"/>
      <w:r w:rsidR="008B631A" w:rsidRPr="00B858A9">
        <w:rPr>
          <w:rFonts w:ascii="Century Gothic" w:eastAsia="Times New Roman" w:hAnsi="Century Gothic" w:cs="Arial"/>
          <w:sz w:val="21"/>
          <w:szCs w:val="21"/>
        </w:rPr>
        <w:t xml:space="preserve"> </w:t>
      </w:r>
      <w:proofErr w:type="spellStart"/>
      <w:r w:rsidR="008B631A" w:rsidRPr="00B858A9">
        <w:rPr>
          <w:rFonts w:ascii="Century Gothic" w:eastAsia="Times New Roman" w:hAnsi="Century Gothic" w:cs="Arial"/>
          <w:sz w:val="21"/>
          <w:szCs w:val="21"/>
        </w:rPr>
        <w:t>Rangitauwhiwhia</w:t>
      </w:r>
      <w:proofErr w:type="spellEnd"/>
      <w:r w:rsidR="008B631A" w:rsidRPr="00B858A9">
        <w:rPr>
          <w:rFonts w:ascii="Century Gothic" w:eastAsia="Times New Roman" w:hAnsi="Century Gothic" w:cs="Arial"/>
          <w:sz w:val="21"/>
          <w:szCs w:val="21"/>
        </w:rPr>
        <w:t xml:space="preserve">, </w:t>
      </w:r>
      <w:proofErr w:type="spellStart"/>
      <w:r w:rsidR="008B631A" w:rsidRPr="00B858A9">
        <w:rPr>
          <w:rFonts w:ascii="Century Gothic" w:eastAsia="Times New Roman" w:hAnsi="Century Gothic" w:cs="Arial"/>
          <w:sz w:val="21"/>
          <w:szCs w:val="21"/>
        </w:rPr>
        <w:t>Ngāti</w:t>
      </w:r>
      <w:proofErr w:type="spellEnd"/>
      <w:r w:rsidR="008B631A" w:rsidRPr="00B858A9">
        <w:rPr>
          <w:rFonts w:ascii="Century Gothic" w:eastAsia="Times New Roman" w:hAnsi="Century Gothic" w:cs="Arial"/>
          <w:sz w:val="21"/>
          <w:szCs w:val="21"/>
        </w:rPr>
        <w:t xml:space="preserve"> </w:t>
      </w:r>
      <w:proofErr w:type="spellStart"/>
      <w:r w:rsidR="008B631A" w:rsidRPr="00B858A9">
        <w:rPr>
          <w:rFonts w:ascii="Century Gothic" w:eastAsia="Times New Roman" w:hAnsi="Century Gothic" w:cs="Arial"/>
          <w:sz w:val="21"/>
          <w:szCs w:val="21"/>
        </w:rPr>
        <w:t>Rangiwaho</w:t>
      </w:r>
      <w:proofErr w:type="spellEnd"/>
      <w:r w:rsidR="008B631A" w:rsidRPr="00B858A9">
        <w:rPr>
          <w:rFonts w:ascii="Century Gothic" w:eastAsia="Times New Roman" w:hAnsi="Century Gothic" w:cs="Arial"/>
          <w:sz w:val="21"/>
          <w:szCs w:val="21"/>
        </w:rPr>
        <w:t xml:space="preserve"> Matua</w:t>
      </w:r>
      <w:r w:rsidR="008B631A" w:rsidRPr="00B858A9">
        <w:rPr>
          <w:rFonts w:ascii="Century Gothic" w:hAnsi="Century Gothic" w:cs="Arial"/>
          <w:sz w:val="21"/>
          <w:szCs w:val="21"/>
          <w:shd w:val="clear" w:color="auto" w:fill="FFFFFF"/>
        </w:rPr>
        <w:t xml:space="preserve">), and </w:t>
      </w:r>
      <w:r w:rsidR="00E242CB" w:rsidRPr="00B858A9">
        <w:rPr>
          <w:rFonts w:ascii="Century Gothic" w:hAnsi="Century Gothic" w:cs="Arial"/>
          <w:sz w:val="21"/>
          <w:szCs w:val="21"/>
          <w:shd w:val="clear" w:color="auto" w:fill="FFFFFF"/>
        </w:rPr>
        <w:t>there are three</w:t>
      </w:r>
      <w:r w:rsidR="008B631A" w:rsidRPr="00B858A9">
        <w:rPr>
          <w:rFonts w:ascii="Century Gothic" w:hAnsi="Century Gothic" w:cs="Arial"/>
          <w:sz w:val="21"/>
          <w:szCs w:val="21"/>
          <w:shd w:val="clear" w:color="auto" w:fill="FFFFFF"/>
        </w:rPr>
        <w:t xml:space="preserve"> </w:t>
      </w:r>
      <w:proofErr w:type="spellStart"/>
      <w:r w:rsidR="008B631A" w:rsidRPr="00B858A9">
        <w:rPr>
          <w:rFonts w:ascii="Century Gothic" w:hAnsi="Century Gothic" w:cs="Arial"/>
          <w:sz w:val="21"/>
          <w:szCs w:val="21"/>
          <w:shd w:val="clear" w:color="auto" w:fill="FFFFFF"/>
        </w:rPr>
        <w:t>marae</w:t>
      </w:r>
      <w:proofErr w:type="spellEnd"/>
      <w:r w:rsidR="00E242CB" w:rsidRPr="00B858A9">
        <w:rPr>
          <w:rFonts w:ascii="Century Gothic" w:hAnsi="Century Gothic" w:cs="Arial"/>
          <w:sz w:val="21"/>
          <w:szCs w:val="21"/>
          <w:shd w:val="clear" w:color="auto" w:fill="FFFFFF"/>
        </w:rPr>
        <w:t xml:space="preserve">: </w:t>
      </w:r>
      <w:proofErr w:type="spellStart"/>
      <w:r w:rsidR="008B631A" w:rsidRPr="00B858A9">
        <w:rPr>
          <w:rFonts w:ascii="Century Gothic" w:hAnsi="Century Gothic" w:cs="Arial"/>
          <w:sz w:val="21"/>
          <w:szCs w:val="21"/>
          <w:shd w:val="clear" w:color="auto" w:fill="FFFFFF"/>
        </w:rPr>
        <w:t>Muriwai</w:t>
      </w:r>
      <w:proofErr w:type="spellEnd"/>
      <w:r w:rsidR="008B631A" w:rsidRPr="00B858A9">
        <w:rPr>
          <w:rFonts w:ascii="Century Gothic" w:hAnsi="Century Gothic" w:cs="Arial"/>
          <w:sz w:val="21"/>
          <w:szCs w:val="21"/>
          <w:shd w:val="clear" w:color="auto" w:fill="FFFFFF"/>
        </w:rPr>
        <w:t xml:space="preserve">, </w:t>
      </w:r>
      <w:proofErr w:type="spellStart"/>
      <w:r w:rsidR="008B631A" w:rsidRPr="00B858A9">
        <w:rPr>
          <w:rFonts w:ascii="Century Gothic" w:hAnsi="Century Gothic" w:cs="Arial"/>
          <w:sz w:val="21"/>
          <w:szCs w:val="21"/>
          <w:shd w:val="clear" w:color="auto" w:fill="FFFFFF"/>
        </w:rPr>
        <w:t>Rangiwaho</w:t>
      </w:r>
      <w:proofErr w:type="spellEnd"/>
      <w:r w:rsidR="008B631A" w:rsidRPr="00B858A9">
        <w:rPr>
          <w:rFonts w:ascii="Century Gothic" w:hAnsi="Century Gothic" w:cs="Arial"/>
          <w:sz w:val="21"/>
          <w:szCs w:val="21"/>
          <w:shd w:val="clear" w:color="auto" w:fill="FFFFFF"/>
        </w:rPr>
        <w:t xml:space="preserve"> and </w:t>
      </w:r>
      <w:proofErr w:type="spellStart"/>
      <w:r w:rsidR="008B631A" w:rsidRPr="00B858A9">
        <w:rPr>
          <w:rFonts w:ascii="Century Gothic" w:hAnsi="Century Gothic" w:cs="Arial"/>
          <w:sz w:val="21"/>
          <w:szCs w:val="21"/>
          <w:shd w:val="clear" w:color="auto" w:fill="FFFFFF"/>
        </w:rPr>
        <w:t>Waiari</w:t>
      </w:r>
      <w:proofErr w:type="spellEnd"/>
      <w:r w:rsidR="008B631A" w:rsidRPr="00B858A9">
        <w:rPr>
          <w:rFonts w:ascii="Century Gothic" w:hAnsi="Century Gothic" w:cs="Arial"/>
          <w:sz w:val="21"/>
          <w:szCs w:val="21"/>
          <w:shd w:val="clear" w:color="auto" w:fill="FFFFFF"/>
        </w:rPr>
        <w:t>.</w:t>
      </w:r>
      <w:r w:rsidR="00D232D9" w:rsidRPr="00B858A9">
        <w:rPr>
          <w:rFonts w:ascii="Century Gothic" w:hAnsi="Century Gothic" w:cs="Times New Roman"/>
          <w:sz w:val="21"/>
          <w:szCs w:val="21"/>
        </w:rPr>
        <w:t xml:space="preserve"> </w:t>
      </w:r>
      <w:r w:rsidR="006F6045" w:rsidRPr="00B858A9">
        <w:rPr>
          <w:rFonts w:ascii="Century Gothic" w:hAnsi="Century Gothic"/>
          <w:sz w:val="21"/>
          <w:szCs w:val="21"/>
        </w:rPr>
        <w:t xml:space="preserve">After many years of seeking redress for the wrongful taking of </w:t>
      </w:r>
      <w:proofErr w:type="spellStart"/>
      <w:r w:rsidR="00D232D9" w:rsidRPr="00B858A9">
        <w:rPr>
          <w:rFonts w:ascii="Century Gothic" w:hAnsi="Century Gothic"/>
          <w:sz w:val="21"/>
          <w:szCs w:val="21"/>
        </w:rPr>
        <w:t>Ngāi</w:t>
      </w:r>
      <w:proofErr w:type="spellEnd"/>
      <w:r w:rsidR="00D232D9" w:rsidRPr="00B858A9">
        <w:rPr>
          <w:rFonts w:ascii="Century Gothic" w:hAnsi="Century Gothic"/>
          <w:sz w:val="21"/>
          <w:szCs w:val="21"/>
        </w:rPr>
        <w:t xml:space="preserve"> </w:t>
      </w:r>
      <w:proofErr w:type="spellStart"/>
      <w:r w:rsidR="00D232D9" w:rsidRPr="00B858A9">
        <w:rPr>
          <w:rFonts w:ascii="Century Gothic" w:hAnsi="Century Gothic"/>
          <w:sz w:val="21"/>
          <w:szCs w:val="21"/>
        </w:rPr>
        <w:t>Tāmanuhiri</w:t>
      </w:r>
      <w:proofErr w:type="spellEnd"/>
      <w:r w:rsidR="00D232D9" w:rsidRPr="00B858A9">
        <w:rPr>
          <w:rFonts w:ascii="Century Gothic" w:hAnsi="Century Gothic"/>
          <w:sz w:val="21"/>
          <w:szCs w:val="21"/>
        </w:rPr>
        <w:t xml:space="preserve"> whenua </w:t>
      </w:r>
      <w:r w:rsidR="006F6045" w:rsidRPr="00B858A9">
        <w:rPr>
          <w:rFonts w:ascii="Century Gothic" w:hAnsi="Century Gothic"/>
          <w:sz w:val="21"/>
          <w:szCs w:val="21"/>
        </w:rPr>
        <w:t xml:space="preserve">by the Government, the </w:t>
      </w:r>
      <w:proofErr w:type="spellStart"/>
      <w:r w:rsidR="006F6045" w:rsidRPr="00B858A9">
        <w:rPr>
          <w:rFonts w:ascii="Century Gothic" w:hAnsi="Century Gothic"/>
          <w:sz w:val="21"/>
          <w:szCs w:val="21"/>
        </w:rPr>
        <w:t>Ngāi</w:t>
      </w:r>
      <w:proofErr w:type="spellEnd"/>
      <w:r w:rsidR="006F6045" w:rsidRPr="00B858A9">
        <w:rPr>
          <w:rFonts w:ascii="Century Gothic" w:hAnsi="Century Gothic"/>
          <w:sz w:val="21"/>
          <w:szCs w:val="21"/>
        </w:rPr>
        <w:t xml:space="preserve"> </w:t>
      </w:r>
      <w:proofErr w:type="spellStart"/>
      <w:r w:rsidR="006F6045" w:rsidRPr="00B858A9">
        <w:rPr>
          <w:rFonts w:ascii="Century Gothic" w:hAnsi="Century Gothic"/>
          <w:sz w:val="21"/>
          <w:szCs w:val="21"/>
        </w:rPr>
        <w:t>Tāmanuhiri</w:t>
      </w:r>
      <w:proofErr w:type="spellEnd"/>
      <w:r w:rsidR="006F6045" w:rsidRPr="00B858A9">
        <w:rPr>
          <w:rFonts w:ascii="Century Gothic" w:hAnsi="Century Gothic"/>
          <w:sz w:val="21"/>
          <w:szCs w:val="21"/>
        </w:rPr>
        <w:t xml:space="preserve"> Claims Settlement B</w:t>
      </w:r>
      <w:r w:rsidR="00D232D9" w:rsidRPr="00B858A9">
        <w:rPr>
          <w:rFonts w:ascii="Century Gothic" w:hAnsi="Century Gothic"/>
          <w:sz w:val="21"/>
          <w:szCs w:val="21"/>
        </w:rPr>
        <w:t>ill was passed into law in 2012, and the</w:t>
      </w:r>
      <w:r w:rsidR="00B858A9">
        <w:rPr>
          <w:rFonts w:ascii="Century Gothic" w:hAnsi="Century Gothic"/>
          <w:sz w:val="21"/>
          <w:szCs w:val="21"/>
        </w:rPr>
        <w:t xml:space="preserve"> </w:t>
      </w:r>
      <w:proofErr w:type="spellStart"/>
      <w:r w:rsidR="00432EF9">
        <w:rPr>
          <w:rFonts w:ascii="Century Gothic" w:hAnsi="Century Gothic"/>
          <w:sz w:val="21"/>
          <w:szCs w:val="21"/>
        </w:rPr>
        <w:t>Tāmanuhiri</w:t>
      </w:r>
      <w:proofErr w:type="spellEnd"/>
      <w:r w:rsidR="00432EF9">
        <w:rPr>
          <w:rFonts w:ascii="Century Gothic" w:hAnsi="Century Gothic"/>
          <w:sz w:val="21"/>
          <w:szCs w:val="21"/>
        </w:rPr>
        <w:t xml:space="preserve"> </w:t>
      </w:r>
      <w:proofErr w:type="spellStart"/>
      <w:r w:rsidR="00432EF9">
        <w:rPr>
          <w:rFonts w:ascii="Century Gothic" w:hAnsi="Century Gothic"/>
          <w:sz w:val="21"/>
          <w:szCs w:val="21"/>
        </w:rPr>
        <w:t>Tūtū</w:t>
      </w:r>
      <w:proofErr w:type="spellEnd"/>
      <w:r w:rsidR="00B858A9">
        <w:rPr>
          <w:rFonts w:ascii="Century Gothic" w:hAnsi="Century Gothic"/>
          <w:sz w:val="21"/>
          <w:szCs w:val="21"/>
        </w:rPr>
        <w:t xml:space="preserve"> </w:t>
      </w:r>
      <w:proofErr w:type="spellStart"/>
      <w:r w:rsidR="00B858A9">
        <w:rPr>
          <w:rFonts w:ascii="Century Gothic" w:hAnsi="Century Gothic"/>
          <w:sz w:val="21"/>
          <w:szCs w:val="21"/>
        </w:rPr>
        <w:t>Poroporo</w:t>
      </w:r>
      <w:proofErr w:type="spellEnd"/>
      <w:r w:rsidR="00B858A9">
        <w:rPr>
          <w:rFonts w:ascii="Century Gothic" w:hAnsi="Century Gothic"/>
          <w:sz w:val="21"/>
          <w:szCs w:val="21"/>
        </w:rPr>
        <w:t xml:space="preserve"> Trust established to receive the negotiated settlement assets</w:t>
      </w:r>
      <w:r w:rsidR="00432EF9">
        <w:rPr>
          <w:rFonts w:ascii="Century Gothic" w:hAnsi="Century Gothic"/>
          <w:sz w:val="21"/>
          <w:szCs w:val="21"/>
        </w:rPr>
        <w:t xml:space="preserve"> of the tribe and be the primary vehicle for leading the development of </w:t>
      </w:r>
      <w:proofErr w:type="spellStart"/>
      <w:r w:rsidR="00432EF9">
        <w:rPr>
          <w:rFonts w:ascii="Century Gothic" w:hAnsi="Century Gothic"/>
          <w:sz w:val="21"/>
          <w:szCs w:val="21"/>
        </w:rPr>
        <w:t>Ngāi</w:t>
      </w:r>
      <w:proofErr w:type="spellEnd"/>
      <w:r w:rsidR="00432EF9">
        <w:rPr>
          <w:rFonts w:ascii="Century Gothic" w:hAnsi="Century Gothic"/>
          <w:sz w:val="21"/>
          <w:szCs w:val="21"/>
        </w:rPr>
        <w:t xml:space="preserve"> </w:t>
      </w:r>
      <w:proofErr w:type="spellStart"/>
      <w:r w:rsidR="00432EF9">
        <w:rPr>
          <w:rFonts w:ascii="Century Gothic" w:hAnsi="Century Gothic"/>
          <w:sz w:val="21"/>
          <w:szCs w:val="21"/>
        </w:rPr>
        <w:t>Tāmanuhiri</w:t>
      </w:r>
      <w:proofErr w:type="spellEnd"/>
      <w:r w:rsidR="00B858A9">
        <w:rPr>
          <w:rFonts w:ascii="Century Gothic" w:hAnsi="Century Gothic"/>
          <w:sz w:val="21"/>
          <w:szCs w:val="21"/>
        </w:rPr>
        <w:t>.</w:t>
      </w:r>
      <w:r w:rsidR="00D232D9" w:rsidRPr="00B858A9">
        <w:rPr>
          <w:rFonts w:ascii="Century Gothic" w:hAnsi="Century Gothic" w:cs="Arial"/>
          <w:sz w:val="21"/>
          <w:szCs w:val="21"/>
          <w:shd w:val="clear" w:color="auto" w:fill="FAFAFA"/>
        </w:rPr>
        <w:t xml:space="preserve"> </w:t>
      </w:r>
    </w:p>
    <w:p w14:paraId="0BE38DA6" w14:textId="77777777" w:rsidR="00D232D9" w:rsidRPr="00B858A9" w:rsidRDefault="00D232D9" w:rsidP="00D232D9">
      <w:pPr>
        <w:pStyle w:val="NoSpacing"/>
        <w:spacing w:line="360" w:lineRule="auto"/>
        <w:rPr>
          <w:rFonts w:ascii="Century Gothic" w:hAnsi="Century Gothic" w:cs="Arial"/>
          <w:sz w:val="21"/>
          <w:szCs w:val="21"/>
          <w:shd w:val="clear" w:color="auto" w:fill="FAFAFA"/>
        </w:rPr>
      </w:pPr>
    </w:p>
    <w:p w14:paraId="1426D1B9" w14:textId="1A991497" w:rsidR="00763274" w:rsidRPr="00D232D9" w:rsidRDefault="00D232D9" w:rsidP="00D232D9">
      <w:pPr>
        <w:pStyle w:val="NoSpacing"/>
        <w:spacing w:line="360" w:lineRule="auto"/>
        <w:rPr>
          <w:rFonts w:ascii="Century Gothic" w:hAnsi="Century Gothic" w:cs="Times New Roman"/>
          <w:sz w:val="21"/>
          <w:szCs w:val="21"/>
        </w:rPr>
      </w:pPr>
      <w:r w:rsidRPr="00B858A9">
        <w:rPr>
          <w:rFonts w:ascii="Century Gothic" w:hAnsi="Century Gothic"/>
          <w:sz w:val="21"/>
          <w:szCs w:val="21"/>
        </w:rPr>
        <w:t xml:space="preserve">NTWT </w:t>
      </w:r>
      <w:r w:rsidR="008B631A" w:rsidRPr="00B858A9">
        <w:rPr>
          <w:rFonts w:ascii="Century Gothic" w:hAnsi="Century Gothic"/>
          <w:sz w:val="21"/>
          <w:szCs w:val="21"/>
        </w:rPr>
        <w:t xml:space="preserve">has identified </w:t>
      </w:r>
      <w:r w:rsidR="00E242CB" w:rsidRPr="00B858A9">
        <w:rPr>
          <w:rFonts w:ascii="Century Gothic" w:hAnsi="Century Gothic"/>
          <w:sz w:val="21"/>
          <w:szCs w:val="21"/>
        </w:rPr>
        <w:t xml:space="preserve">the protection and revitalization of </w:t>
      </w:r>
      <w:proofErr w:type="spellStart"/>
      <w:proofErr w:type="gramStart"/>
      <w:r w:rsidR="00047DBD" w:rsidRPr="00B858A9">
        <w:rPr>
          <w:rFonts w:ascii="Century Gothic" w:hAnsi="Century Gothic"/>
          <w:sz w:val="21"/>
          <w:szCs w:val="21"/>
        </w:rPr>
        <w:t>te</w:t>
      </w:r>
      <w:proofErr w:type="spellEnd"/>
      <w:proofErr w:type="gramEnd"/>
      <w:r w:rsidR="00047DBD" w:rsidRPr="00B858A9">
        <w:rPr>
          <w:rFonts w:ascii="Century Gothic" w:hAnsi="Century Gothic"/>
          <w:sz w:val="21"/>
          <w:szCs w:val="21"/>
        </w:rPr>
        <w:t xml:space="preserve"> reo Māori</w:t>
      </w:r>
      <w:r w:rsidR="00E242CB" w:rsidRPr="00B858A9">
        <w:rPr>
          <w:rFonts w:ascii="Century Gothic" w:hAnsi="Century Gothic"/>
          <w:sz w:val="21"/>
          <w:szCs w:val="21"/>
        </w:rPr>
        <w:t xml:space="preserve"> </w:t>
      </w:r>
      <w:r w:rsidR="008B631A" w:rsidRPr="00B858A9">
        <w:rPr>
          <w:rFonts w:ascii="Century Gothic" w:hAnsi="Century Gothic"/>
          <w:sz w:val="21"/>
          <w:szCs w:val="21"/>
        </w:rPr>
        <w:t xml:space="preserve">and </w:t>
      </w:r>
      <w:r w:rsidR="00E242CB" w:rsidRPr="00B858A9">
        <w:rPr>
          <w:rFonts w:ascii="Century Gothic" w:hAnsi="Century Gothic"/>
          <w:sz w:val="21"/>
          <w:szCs w:val="21"/>
        </w:rPr>
        <w:t xml:space="preserve">the distinctive </w:t>
      </w:r>
      <w:proofErr w:type="spellStart"/>
      <w:r w:rsidR="00E242CB" w:rsidRPr="00B858A9">
        <w:rPr>
          <w:rFonts w:ascii="Century Gothic" w:hAnsi="Century Gothic"/>
          <w:sz w:val="21"/>
          <w:szCs w:val="21"/>
        </w:rPr>
        <w:t>Tāmanuhiri</w:t>
      </w:r>
      <w:proofErr w:type="spellEnd"/>
      <w:r w:rsidR="00E242CB" w:rsidRPr="00B858A9">
        <w:rPr>
          <w:rFonts w:ascii="Century Gothic" w:hAnsi="Century Gothic"/>
          <w:sz w:val="21"/>
          <w:szCs w:val="21"/>
        </w:rPr>
        <w:t xml:space="preserve"> </w:t>
      </w:r>
      <w:proofErr w:type="spellStart"/>
      <w:r w:rsidR="00E242CB" w:rsidRPr="00B858A9">
        <w:rPr>
          <w:rFonts w:ascii="Century Gothic" w:hAnsi="Century Gothic"/>
          <w:sz w:val="21"/>
          <w:szCs w:val="21"/>
        </w:rPr>
        <w:t>mita</w:t>
      </w:r>
      <w:proofErr w:type="spellEnd"/>
      <w:r w:rsidR="00E242CB" w:rsidRPr="00B858A9">
        <w:rPr>
          <w:rFonts w:ascii="Century Gothic" w:hAnsi="Century Gothic"/>
          <w:sz w:val="21"/>
          <w:szCs w:val="21"/>
        </w:rPr>
        <w:t xml:space="preserve"> (dialect) as a strategic priority within its </w:t>
      </w:r>
      <w:proofErr w:type="spellStart"/>
      <w:r w:rsidR="00E242CB" w:rsidRPr="00B858A9">
        <w:rPr>
          <w:rFonts w:ascii="Century Gothic" w:hAnsi="Century Gothic"/>
          <w:i/>
          <w:iCs/>
          <w:sz w:val="21"/>
          <w:szCs w:val="21"/>
        </w:rPr>
        <w:t>Mana</w:t>
      </w:r>
      <w:proofErr w:type="spellEnd"/>
      <w:r w:rsidR="00E242CB" w:rsidRPr="00B858A9">
        <w:rPr>
          <w:rFonts w:ascii="Century Gothic" w:hAnsi="Century Gothic"/>
          <w:i/>
          <w:iCs/>
          <w:sz w:val="21"/>
          <w:szCs w:val="21"/>
        </w:rPr>
        <w:t xml:space="preserve"> </w:t>
      </w:r>
      <w:proofErr w:type="spellStart"/>
      <w:r w:rsidR="00E242CB" w:rsidRPr="00B858A9">
        <w:rPr>
          <w:rFonts w:ascii="Century Gothic" w:hAnsi="Century Gothic"/>
          <w:i/>
          <w:iCs/>
          <w:sz w:val="21"/>
          <w:szCs w:val="21"/>
        </w:rPr>
        <w:t>Tīpuna</w:t>
      </w:r>
      <w:proofErr w:type="spellEnd"/>
      <w:r w:rsidR="00E242CB" w:rsidRPr="00B858A9">
        <w:rPr>
          <w:rFonts w:ascii="Century Gothic" w:hAnsi="Century Gothic"/>
          <w:sz w:val="21"/>
          <w:szCs w:val="21"/>
        </w:rPr>
        <w:t xml:space="preserve"> Cultural Development Strategy. </w:t>
      </w:r>
      <w:r w:rsidR="00763274" w:rsidRPr="00B858A9">
        <w:rPr>
          <w:rFonts w:ascii="Century Gothic" w:hAnsi="Century Gothic"/>
          <w:sz w:val="21"/>
          <w:szCs w:val="21"/>
        </w:rPr>
        <w:t xml:space="preserve">One </w:t>
      </w:r>
      <w:r w:rsidR="00E242CB" w:rsidRPr="00B858A9">
        <w:rPr>
          <w:rFonts w:ascii="Century Gothic" w:hAnsi="Century Gothic"/>
          <w:sz w:val="21"/>
          <w:szCs w:val="21"/>
        </w:rPr>
        <w:t>of the target cultural outcomes is to increase the number and compete</w:t>
      </w:r>
      <w:r w:rsidR="00763274" w:rsidRPr="00B858A9">
        <w:rPr>
          <w:rFonts w:ascii="Century Gothic" w:hAnsi="Century Gothic"/>
          <w:sz w:val="21"/>
          <w:szCs w:val="21"/>
        </w:rPr>
        <w:t>ncy</w:t>
      </w:r>
      <w:r w:rsidR="00E242CB" w:rsidRPr="00B858A9">
        <w:rPr>
          <w:rFonts w:ascii="Century Gothic" w:hAnsi="Century Gothic"/>
          <w:sz w:val="21"/>
          <w:szCs w:val="21"/>
        </w:rPr>
        <w:t xml:space="preserve"> of </w:t>
      </w:r>
      <w:proofErr w:type="spellStart"/>
      <w:r w:rsidR="00E242CB" w:rsidRPr="00B858A9">
        <w:rPr>
          <w:rFonts w:ascii="Century Gothic" w:hAnsi="Century Gothic"/>
          <w:sz w:val="21"/>
          <w:szCs w:val="21"/>
        </w:rPr>
        <w:t>Ngāi</w:t>
      </w:r>
      <w:proofErr w:type="spellEnd"/>
      <w:r w:rsidR="00E242CB" w:rsidRPr="00B858A9">
        <w:rPr>
          <w:rFonts w:ascii="Century Gothic" w:hAnsi="Century Gothic"/>
          <w:sz w:val="21"/>
          <w:szCs w:val="21"/>
        </w:rPr>
        <w:t xml:space="preserve"> </w:t>
      </w:r>
      <w:proofErr w:type="spellStart"/>
      <w:r w:rsidR="00E242CB" w:rsidRPr="00B858A9">
        <w:rPr>
          <w:rFonts w:ascii="Century Gothic" w:hAnsi="Century Gothic"/>
          <w:sz w:val="21"/>
          <w:szCs w:val="21"/>
        </w:rPr>
        <w:t>Tāmanuhiri</w:t>
      </w:r>
      <w:proofErr w:type="spellEnd"/>
      <w:r w:rsidR="00E242CB" w:rsidRPr="00B858A9">
        <w:rPr>
          <w:rFonts w:ascii="Century Gothic" w:hAnsi="Century Gothic"/>
          <w:sz w:val="21"/>
          <w:szCs w:val="21"/>
        </w:rPr>
        <w:t xml:space="preserve"> </w:t>
      </w:r>
      <w:proofErr w:type="spellStart"/>
      <w:proofErr w:type="gramStart"/>
      <w:r w:rsidR="00047DBD" w:rsidRPr="00B858A9">
        <w:rPr>
          <w:rFonts w:ascii="Century Gothic" w:hAnsi="Century Gothic"/>
          <w:sz w:val="21"/>
          <w:szCs w:val="21"/>
        </w:rPr>
        <w:t>te</w:t>
      </w:r>
      <w:proofErr w:type="spellEnd"/>
      <w:proofErr w:type="gramEnd"/>
      <w:r w:rsidR="00047DBD" w:rsidRPr="00B858A9">
        <w:rPr>
          <w:rFonts w:ascii="Century Gothic" w:hAnsi="Century Gothic"/>
          <w:sz w:val="21"/>
          <w:szCs w:val="21"/>
        </w:rPr>
        <w:t xml:space="preserve"> reo Māori </w:t>
      </w:r>
      <w:r w:rsidR="00E242CB" w:rsidRPr="00B858A9">
        <w:rPr>
          <w:rFonts w:ascii="Century Gothic" w:hAnsi="Century Gothic"/>
          <w:sz w:val="21"/>
          <w:szCs w:val="21"/>
        </w:rPr>
        <w:t>speakers.</w:t>
      </w:r>
      <w:r w:rsidR="00763274" w:rsidRPr="00B858A9">
        <w:rPr>
          <w:rFonts w:ascii="Century Gothic" w:hAnsi="Century Gothic"/>
          <w:sz w:val="21"/>
          <w:szCs w:val="21"/>
        </w:rPr>
        <w:t xml:space="preserve"> </w:t>
      </w:r>
      <w:r w:rsidR="00E242CB" w:rsidRPr="00B858A9">
        <w:rPr>
          <w:rFonts w:ascii="Century Gothic" w:hAnsi="Century Gothic"/>
          <w:sz w:val="21"/>
          <w:szCs w:val="21"/>
        </w:rPr>
        <w:t xml:space="preserve">The ability to monitor progress towards these goals </w:t>
      </w:r>
      <w:r w:rsidR="0011556E" w:rsidRPr="00B858A9">
        <w:rPr>
          <w:rFonts w:ascii="Century Gothic" w:hAnsi="Century Gothic"/>
          <w:sz w:val="21"/>
          <w:szCs w:val="21"/>
        </w:rPr>
        <w:t xml:space="preserve">requires </w:t>
      </w:r>
      <w:r w:rsidR="00E242CB" w:rsidRPr="00B858A9">
        <w:rPr>
          <w:rFonts w:ascii="Century Gothic" w:hAnsi="Century Gothic"/>
          <w:sz w:val="21"/>
          <w:szCs w:val="21"/>
        </w:rPr>
        <w:t xml:space="preserve">the collection of high quality and relevant iwi-specific data. </w:t>
      </w:r>
      <w:r w:rsidR="00763274" w:rsidRPr="00B858A9">
        <w:rPr>
          <w:rFonts w:ascii="Century Gothic" w:hAnsi="Century Gothic"/>
          <w:sz w:val="21"/>
          <w:szCs w:val="21"/>
        </w:rPr>
        <w:t xml:space="preserve">The national Census of Population and Dwellings </w:t>
      </w:r>
      <w:r w:rsidR="0033347B" w:rsidRPr="00B858A9">
        <w:rPr>
          <w:rFonts w:ascii="Century Gothic" w:hAnsi="Century Gothic"/>
          <w:sz w:val="21"/>
          <w:szCs w:val="21"/>
        </w:rPr>
        <w:t>(census</w:t>
      </w:r>
      <w:r w:rsidR="0033347B">
        <w:rPr>
          <w:rFonts w:ascii="Century Gothic" w:hAnsi="Century Gothic"/>
          <w:sz w:val="21"/>
          <w:szCs w:val="21"/>
        </w:rPr>
        <w:t xml:space="preserve"> hereafter) </w:t>
      </w:r>
      <w:r w:rsidR="00763274">
        <w:rPr>
          <w:rFonts w:ascii="Century Gothic" w:hAnsi="Century Gothic"/>
          <w:sz w:val="21"/>
          <w:szCs w:val="21"/>
        </w:rPr>
        <w:t xml:space="preserve">has collected data on iwi affiliation since 1991 and data on </w:t>
      </w:r>
      <w:proofErr w:type="spellStart"/>
      <w:proofErr w:type="gramStart"/>
      <w:r w:rsidR="00047DBD">
        <w:rPr>
          <w:rFonts w:ascii="Century Gothic" w:hAnsi="Century Gothic"/>
          <w:sz w:val="21"/>
          <w:szCs w:val="21"/>
        </w:rPr>
        <w:t>te</w:t>
      </w:r>
      <w:proofErr w:type="spellEnd"/>
      <w:proofErr w:type="gramEnd"/>
      <w:r w:rsidR="00047DBD">
        <w:rPr>
          <w:rFonts w:ascii="Century Gothic" w:hAnsi="Century Gothic"/>
          <w:sz w:val="21"/>
          <w:szCs w:val="21"/>
        </w:rPr>
        <w:t xml:space="preserve"> reo Māori</w:t>
      </w:r>
      <w:r w:rsidR="00763274">
        <w:rPr>
          <w:rFonts w:ascii="Century Gothic" w:hAnsi="Century Gothic"/>
          <w:sz w:val="21"/>
          <w:szCs w:val="21"/>
        </w:rPr>
        <w:t xml:space="preserve"> since 1996; this report is based entirely on</w:t>
      </w:r>
      <w:r w:rsidR="00153C9D">
        <w:rPr>
          <w:rFonts w:ascii="Century Gothic" w:hAnsi="Century Gothic"/>
          <w:sz w:val="21"/>
          <w:szCs w:val="21"/>
        </w:rPr>
        <w:t xml:space="preserve"> </w:t>
      </w:r>
      <w:proofErr w:type="spellStart"/>
      <w:r w:rsidR="00153C9D">
        <w:rPr>
          <w:rFonts w:ascii="Century Gothic" w:hAnsi="Century Gothic"/>
          <w:sz w:val="21"/>
          <w:szCs w:val="21"/>
        </w:rPr>
        <w:t>Ngāi</w:t>
      </w:r>
      <w:proofErr w:type="spellEnd"/>
      <w:r w:rsidR="00153C9D">
        <w:rPr>
          <w:rFonts w:ascii="Century Gothic" w:hAnsi="Century Gothic"/>
          <w:sz w:val="21"/>
          <w:szCs w:val="21"/>
        </w:rPr>
        <w:t xml:space="preserve"> </w:t>
      </w:r>
      <w:proofErr w:type="spellStart"/>
      <w:r w:rsidR="00153C9D">
        <w:rPr>
          <w:rFonts w:ascii="Century Gothic" w:hAnsi="Century Gothic"/>
          <w:sz w:val="21"/>
          <w:szCs w:val="21"/>
        </w:rPr>
        <w:t>Tāmanuhiri</w:t>
      </w:r>
      <w:proofErr w:type="spellEnd"/>
      <w:r w:rsidR="00153C9D">
        <w:rPr>
          <w:rFonts w:ascii="Century Gothic" w:hAnsi="Century Gothic"/>
          <w:sz w:val="21"/>
          <w:szCs w:val="21"/>
        </w:rPr>
        <w:t xml:space="preserve"> data drawn from the </w:t>
      </w:r>
      <w:r w:rsidR="0033347B">
        <w:rPr>
          <w:rFonts w:ascii="Century Gothic" w:hAnsi="Century Gothic"/>
          <w:sz w:val="21"/>
          <w:szCs w:val="21"/>
        </w:rPr>
        <w:t>c</w:t>
      </w:r>
      <w:r w:rsidR="00153C9D">
        <w:rPr>
          <w:rFonts w:ascii="Century Gothic" w:hAnsi="Century Gothic"/>
          <w:sz w:val="21"/>
          <w:szCs w:val="21"/>
        </w:rPr>
        <w:t>ensus</w:t>
      </w:r>
      <w:r w:rsidR="00763274">
        <w:rPr>
          <w:rFonts w:ascii="Century Gothic" w:hAnsi="Century Gothic"/>
          <w:sz w:val="21"/>
          <w:szCs w:val="21"/>
        </w:rPr>
        <w:t>. The Trust also recently undertook a</w:t>
      </w:r>
      <w:r w:rsidR="00153C9D">
        <w:rPr>
          <w:rFonts w:ascii="Century Gothic" w:hAnsi="Century Gothic"/>
          <w:sz w:val="21"/>
          <w:szCs w:val="21"/>
        </w:rPr>
        <w:t>n iwi</w:t>
      </w:r>
      <w:r w:rsidR="00763274">
        <w:rPr>
          <w:rFonts w:ascii="Century Gothic" w:hAnsi="Century Gothic"/>
          <w:sz w:val="21"/>
          <w:szCs w:val="21"/>
        </w:rPr>
        <w:t xml:space="preserve"> survey to seek guidance on how it might best develop a strategy to </w:t>
      </w:r>
      <w:r w:rsidR="0033347B">
        <w:rPr>
          <w:rFonts w:ascii="Century Gothic" w:hAnsi="Century Gothic"/>
          <w:sz w:val="21"/>
          <w:szCs w:val="21"/>
        </w:rPr>
        <w:t xml:space="preserve">encourage </w:t>
      </w:r>
      <w:proofErr w:type="spellStart"/>
      <w:r w:rsidR="0033347B">
        <w:rPr>
          <w:rFonts w:ascii="Century Gothic" w:hAnsi="Century Gothic"/>
          <w:sz w:val="21"/>
          <w:szCs w:val="21"/>
        </w:rPr>
        <w:t>whā</w:t>
      </w:r>
      <w:r w:rsidR="00763274">
        <w:rPr>
          <w:rFonts w:ascii="Century Gothic" w:hAnsi="Century Gothic"/>
          <w:sz w:val="21"/>
          <w:szCs w:val="21"/>
        </w:rPr>
        <w:t>nau</w:t>
      </w:r>
      <w:proofErr w:type="spellEnd"/>
      <w:r w:rsidR="00763274">
        <w:rPr>
          <w:rFonts w:ascii="Century Gothic" w:hAnsi="Century Gothic"/>
          <w:sz w:val="21"/>
          <w:szCs w:val="21"/>
        </w:rPr>
        <w:t xml:space="preserve"> to learn </w:t>
      </w:r>
      <w:proofErr w:type="spellStart"/>
      <w:proofErr w:type="gramStart"/>
      <w:r w:rsidR="00047DBD">
        <w:rPr>
          <w:rFonts w:ascii="Century Gothic" w:hAnsi="Century Gothic"/>
          <w:sz w:val="21"/>
          <w:szCs w:val="21"/>
        </w:rPr>
        <w:t>t</w:t>
      </w:r>
      <w:r w:rsidR="000B60A9">
        <w:rPr>
          <w:rFonts w:ascii="Century Gothic" w:hAnsi="Century Gothic"/>
          <w:sz w:val="21"/>
          <w:szCs w:val="21"/>
        </w:rPr>
        <w:t>e</w:t>
      </w:r>
      <w:proofErr w:type="spellEnd"/>
      <w:proofErr w:type="gramEnd"/>
      <w:r w:rsidR="000B60A9">
        <w:rPr>
          <w:rFonts w:ascii="Century Gothic" w:hAnsi="Century Gothic"/>
          <w:sz w:val="21"/>
          <w:szCs w:val="21"/>
        </w:rPr>
        <w:t xml:space="preserve"> reo Māori</w:t>
      </w:r>
      <w:r w:rsidR="00763274">
        <w:rPr>
          <w:rFonts w:ascii="Century Gothic" w:hAnsi="Century Gothic"/>
          <w:sz w:val="21"/>
          <w:szCs w:val="21"/>
        </w:rPr>
        <w:t xml:space="preserve"> o </w:t>
      </w:r>
      <w:proofErr w:type="spellStart"/>
      <w:r w:rsidR="00763274">
        <w:rPr>
          <w:rFonts w:ascii="Century Gothic" w:hAnsi="Century Gothic"/>
          <w:sz w:val="21"/>
          <w:szCs w:val="21"/>
        </w:rPr>
        <w:t>Tāmanuhiri</w:t>
      </w:r>
      <w:proofErr w:type="spellEnd"/>
      <w:r w:rsidR="00763274">
        <w:rPr>
          <w:rFonts w:ascii="Century Gothic" w:hAnsi="Century Gothic"/>
          <w:sz w:val="21"/>
          <w:szCs w:val="21"/>
        </w:rPr>
        <w:t>. The results from that survey are not included in this report.</w:t>
      </w:r>
    </w:p>
    <w:p w14:paraId="4D165F79" w14:textId="77777777" w:rsidR="002227AD" w:rsidRDefault="002227AD" w:rsidP="009E253A">
      <w:pPr>
        <w:pStyle w:val="NoSpacing"/>
        <w:spacing w:line="360" w:lineRule="auto"/>
        <w:rPr>
          <w:rFonts w:ascii="Century Gothic" w:hAnsi="Century Gothic"/>
          <w:sz w:val="21"/>
          <w:szCs w:val="21"/>
        </w:rPr>
      </w:pPr>
    </w:p>
    <w:p w14:paraId="1C4953B5" w14:textId="77777777" w:rsidR="00BB3208" w:rsidRDefault="00BB3208" w:rsidP="009E253A">
      <w:pPr>
        <w:pStyle w:val="NoSpacing"/>
        <w:spacing w:line="360" w:lineRule="auto"/>
        <w:rPr>
          <w:rFonts w:ascii="Century Gothic" w:hAnsi="Century Gothic"/>
          <w:sz w:val="21"/>
          <w:szCs w:val="21"/>
        </w:rPr>
      </w:pPr>
    </w:p>
    <w:p w14:paraId="441D0133" w14:textId="77777777" w:rsidR="00BB3208" w:rsidRPr="009E253A" w:rsidRDefault="00BB3208" w:rsidP="009E253A">
      <w:pPr>
        <w:pStyle w:val="NoSpacing"/>
        <w:spacing w:line="360" w:lineRule="auto"/>
        <w:rPr>
          <w:rFonts w:ascii="Century Gothic" w:hAnsi="Century Gothic"/>
          <w:sz w:val="21"/>
          <w:szCs w:val="21"/>
        </w:rPr>
      </w:pPr>
    </w:p>
    <w:p w14:paraId="32F72C16" w14:textId="1DAAFEA8" w:rsidR="00B65158" w:rsidRPr="00B65158" w:rsidRDefault="00385840" w:rsidP="00B65158">
      <w:pPr>
        <w:pStyle w:val="Heading2"/>
        <w:pBdr>
          <w:bottom w:val="single" w:sz="4" w:space="1" w:color="42AAC2"/>
        </w:pBdr>
        <w:rPr>
          <w:rFonts w:ascii="Century Gothic" w:hAnsi="Century Gothic"/>
          <w:b/>
          <w:bCs/>
          <w:color w:val="1F4D78"/>
        </w:rPr>
      </w:pPr>
      <w:bookmarkStart w:id="5" w:name="_Toc491783038"/>
      <w:r>
        <w:rPr>
          <w:rFonts w:ascii="Century Gothic" w:hAnsi="Century Gothic"/>
          <w:b/>
          <w:bCs/>
          <w:color w:val="1F4D78"/>
        </w:rPr>
        <w:lastRenderedPageBreak/>
        <w:t>The need for relevant, high-quality data</w:t>
      </w:r>
      <w:bookmarkEnd w:id="5"/>
    </w:p>
    <w:p w14:paraId="6E59719B" w14:textId="22C4EB1E" w:rsidR="002227AD" w:rsidRPr="0065189F" w:rsidRDefault="002227AD" w:rsidP="0065189F">
      <w:pPr>
        <w:pStyle w:val="NoSpacing"/>
      </w:pPr>
    </w:p>
    <w:p w14:paraId="5F4A0F73" w14:textId="14786210" w:rsidR="00FE6316" w:rsidRPr="00385840" w:rsidRDefault="00385840" w:rsidP="005E49C0">
      <w:pPr>
        <w:spacing w:line="360" w:lineRule="auto"/>
        <w:rPr>
          <w:rFonts w:ascii="Century Gothic" w:hAnsi="Century Gothic"/>
          <w:color w:val="000000" w:themeColor="text1"/>
          <w:sz w:val="21"/>
          <w:szCs w:val="21"/>
        </w:rPr>
      </w:pPr>
      <w:r>
        <w:rPr>
          <w:rFonts w:ascii="Century Gothic" w:hAnsi="Century Gothic"/>
          <w:color w:val="000000" w:themeColor="text1"/>
          <w:sz w:val="21"/>
          <w:szCs w:val="21"/>
        </w:rPr>
        <w:t>Iwi and Māori</w:t>
      </w:r>
      <w:r w:rsidR="00FE6316" w:rsidRPr="00751A5B">
        <w:rPr>
          <w:rFonts w:ascii="Century Gothic" w:hAnsi="Century Gothic"/>
          <w:color w:val="000000" w:themeColor="text1"/>
          <w:sz w:val="21"/>
          <w:szCs w:val="21"/>
        </w:rPr>
        <w:t xml:space="preserve"> organisations and communities have a strong interest in accessing high-quality statistical data to inform decision-making and wellbeing initiatives, and these needs have been amplified in a post-settlement context (</w:t>
      </w:r>
      <w:proofErr w:type="spellStart"/>
      <w:r w:rsidR="00FE6316" w:rsidRPr="00751A5B">
        <w:rPr>
          <w:rFonts w:ascii="Century Gothic" w:hAnsi="Century Gothic"/>
          <w:color w:val="000000" w:themeColor="text1"/>
          <w:sz w:val="21"/>
          <w:szCs w:val="21"/>
        </w:rPr>
        <w:t>Kukutai</w:t>
      </w:r>
      <w:proofErr w:type="spellEnd"/>
      <w:r w:rsidR="00FE6316" w:rsidRPr="00751A5B">
        <w:rPr>
          <w:rFonts w:ascii="Century Gothic" w:hAnsi="Century Gothic"/>
          <w:color w:val="000000" w:themeColor="text1"/>
          <w:sz w:val="21"/>
          <w:szCs w:val="21"/>
        </w:rPr>
        <w:t xml:space="preserve"> &amp; </w:t>
      </w:r>
      <w:proofErr w:type="spellStart"/>
      <w:r w:rsidR="00FE6316" w:rsidRPr="00751A5B">
        <w:rPr>
          <w:rFonts w:ascii="Century Gothic" w:hAnsi="Century Gothic"/>
          <w:color w:val="000000" w:themeColor="text1"/>
          <w:sz w:val="21"/>
          <w:szCs w:val="21"/>
        </w:rPr>
        <w:t>Rarere</w:t>
      </w:r>
      <w:proofErr w:type="spellEnd"/>
      <w:r w:rsidR="00FE6316" w:rsidRPr="00751A5B">
        <w:rPr>
          <w:rFonts w:ascii="Century Gothic" w:hAnsi="Century Gothic"/>
          <w:color w:val="000000" w:themeColor="text1"/>
          <w:sz w:val="21"/>
          <w:szCs w:val="21"/>
        </w:rPr>
        <w:t xml:space="preserve">, </w:t>
      </w:r>
      <w:r w:rsidR="00FE6316">
        <w:rPr>
          <w:rFonts w:ascii="Century Gothic" w:hAnsi="Century Gothic"/>
          <w:color w:val="000000" w:themeColor="text1"/>
          <w:sz w:val="21"/>
          <w:szCs w:val="21"/>
        </w:rPr>
        <w:t>2013</w:t>
      </w:r>
      <w:r w:rsidR="00FE6316" w:rsidRPr="00751A5B">
        <w:rPr>
          <w:rFonts w:ascii="Century Gothic" w:hAnsi="Century Gothic"/>
          <w:color w:val="000000" w:themeColor="text1"/>
          <w:sz w:val="21"/>
          <w:szCs w:val="21"/>
        </w:rPr>
        <w:t xml:space="preserve">; Walling, Small-Rodriguez &amp; </w:t>
      </w:r>
      <w:proofErr w:type="spellStart"/>
      <w:r w:rsidR="00FE6316" w:rsidRPr="00751A5B">
        <w:rPr>
          <w:rFonts w:ascii="Century Gothic" w:hAnsi="Century Gothic"/>
          <w:color w:val="000000" w:themeColor="text1"/>
          <w:sz w:val="21"/>
          <w:szCs w:val="21"/>
        </w:rPr>
        <w:t>Kukutai</w:t>
      </w:r>
      <w:proofErr w:type="spellEnd"/>
      <w:r w:rsidR="00FE6316" w:rsidRPr="00751A5B">
        <w:rPr>
          <w:rFonts w:ascii="Century Gothic" w:hAnsi="Century Gothic"/>
          <w:color w:val="000000" w:themeColor="text1"/>
          <w:sz w:val="21"/>
          <w:szCs w:val="21"/>
        </w:rPr>
        <w:t>, 2009). Demographic and related data are needed to inform decision-making across a wide range of areas – from investing in educational scholarships, to planning for future changes in local labour markets, to strategies to support the intergenerational transmission</w:t>
      </w:r>
      <w:r w:rsidR="0011556E">
        <w:rPr>
          <w:rFonts w:ascii="Century Gothic" w:hAnsi="Century Gothic"/>
          <w:color w:val="000000" w:themeColor="text1"/>
          <w:sz w:val="21"/>
          <w:szCs w:val="21"/>
        </w:rPr>
        <w:t xml:space="preserve"> of </w:t>
      </w:r>
      <w:proofErr w:type="spellStart"/>
      <w:proofErr w:type="gramStart"/>
      <w:r w:rsidR="00B101DF">
        <w:rPr>
          <w:rFonts w:ascii="Century Gothic" w:hAnsi="Century Gothic"/>
          <w:color w:val="000000" w:themeColor="text1"/>
          <w:sz w:val="21"/>
          <w:szCs w:val="21"/>
        </w:rPr>
        <w:t>t</w:t>
      </w:r>
      <w:r w:rsidR="000B60A9">
        <w:rPr>
          <w:rFonts w:ascii="Century Gothic" w:hAnsi="Century Gothic"/>
          <w:color w:val="000000" w:themeColor="text1"/>
          <w:sz w:val="21"/>
          <w:szCs w:val="21"/>
        </w:rPr>
        <w:t>e</w:t>
      </w:r>
      <w:proofErr w:type="spellEnd"/>
      <w:proofErr w:type="gramEnd"/>
      <w:r w:rsidR="000B60A9">
        <w:rPr>
          <w:rFonts w:ascii="Century Gothic" w:hAnsi="Century Gothic"/>
          <w:color w:val="000000" w:themeColor="text1"/>
          <w:sz w:val="21"/>
          <w:szCs w:val="21"/>
        </w:rPr>
        <w:t xml:space="preserve"> reo Māori</w:t>
      </w:r>
      <w:r w:rsidR="0011556E">
        <w:rPr>
          <w:rFonts w:ascii="Century Gothic" w:hAnsi="Century Gothic"/>
          <w:color w:val="000000" w:themeColor="text1"/>
          <w:sz w:val="21"/>
          <w:szCs w:val="21"/>
        </w:rPr>
        <w:t xml:space="preserve"> and </w:t>
      </w:r>
      <w:proofErr w:type="spellStart"/>
      <w:r w:rsidR="0011556E">
        <w:rPr>
          <w:rFonts w:ascii="Century Gothic" w:hAnsi="Century Gothic"/>
          <w:color w:val="000000" w:themeColor="text1"/>
          <w:sz w:val="21"/>
          <w:szCs w:val="21"/>
        </w:rPr>
        <w:t>tikanga</w:t>
      </w:r>
      <w:proofErr w:type="spellEnd"/>
      <w:r w:rsidR="0011556E">
        <w:rPr>
          <w:rFonts w:ascii="Century Gothic" w:hAnsi="Century Gothic"/>
          <w:color w:val="000000" w:themeColor="text1"/>
          <w:sz w:val="21"/>
          <w:szCs w:val="21"/>
        </w:rPr>
        <w:t xml:space="preserve"> within </w:t>
      </w:r>
      <w:proofErr w:type="spellStart"/>
      <w:r w:rsidR="0011556E">
        <w:rPr>
          <w:rFonts w:ascii="Century Gothic" w:hAnsi="Century Gothic"/>
          <w:color w:val="000000" w:themeColor="text1"/>
          <w:sz w:val="21"/>
          <w:szCs w:val="21"/>
        </w:rPr>
        <w:t>whā</w:t>
      </w:r>
      <w:r w:rsidR="00FE6316" w:rsidRPr="00751A5B">
        <w:rPr>
          <w:rFonts w:ascii="Century Gothic" w:hAnsi="Century Gothic"/>
          <w:color w:val="000000" w:themeColor="text1"/>
          <w:sz w:val="21"/>
          <w:szCs w:val="21"/>
        </w:rPr>
        <w:t>nau</w:t>
      </w:r>
      <w:proofErr w:type="spellEnd"/>
      <w:r w:rsidR="00FE6316" w:rsidRPr="00751A5B">
        <w:rPr>
          <w:rFonts w:ascii="Century Gothic" w:hAnsi="Century Gothic"/>
          <w:color w:val="000000" w:themeColor="text1"/>
          <w:sz w:val="21"/>
          <w:szCs w:val="21"/>
        </w:rPr>
        <w:t xml:space="preserve">. </w:t>
      </w:r>
      <w:r w:rsidR="0033347B">
        <w:rPr>
          <w:rFonts w:ascii="Century Gothic" w:hAnsi="Century Gothic"/>
          <w:color w:val="000000" w:themeColor="text1"/>
          <w:sz w:val="21"/>
          <w:szCs w:val="21"/>
        </w:rPr>
        <w:t>S</w:t>
      </w:r>
      <w:r w:rsidR="00FE6316" w:rsidRPr="00751A5B">
        <w:rPr>
          <w:rFonts w:ascii="Century Gothic" w:hAnsi="Century Gothic"/>
          <w:color w:val="000000" w:themeColor="text1"/>
          <w:sz w:val="21"/>
          <w:szCs w:val="21"/>
        </w:rPr>
        <w:t xml:space="preserve">tatistical data can be used to identify current and future needs, set planning priorities, and monitor and evaluate the impacts of services and programmes. Given that iwi have relationships with a range of external stakeholders including local government, agencies, business, and service providers, such data can also provide a tool for effective </w:t>
      </w:r>
      <w:r w:rsidR="00FE6316" w:rsidRPr="00385840">
        <w:rPr>
          <w:rFonts w:ascii="Century Gothic" w:hAnsi="Century Gothic"/>
          <w:color w:val="000000" w:themeColor="text1"/>
          <w:sz w:val="21"/>
          <w:szCs w:val="21"/>
        </w:rPr>
        <w:t xml:space="preserve">advocacy and engagement. </w:t>
      </w:r>
    </w:p>
    <w:p w14:paraId="4E715CA1" w14:textId="62D68A1E" w:rsidR="00842426" w:rsidRDefault="00B05CF8" w:rsidP="009B7602">
      <w:pPr>
        <w:spacing w:line="360" w:lineRule="auto"/>
        <w:rPr>
          <w:rFonts w:ascii="Century Gothic" w:hAnsi="Century Gothic" w:cs="Arial"/>
          <w:color w:val="000000"/>
          <w:sz w:val="21"/>
          <w:szCs w:val="21"/>
          <w:shd w:val="clear" w:color="auto" w:fill="FFFFFF"/>
        </w:rPr>
      </w:pPr>
      <w:r w:rsidRPr="00842426">
        <w:rPr>
          <w:rFonts w:ascii="Century Gothic" w:hAnsi="Century Gothic"/>
          <w:sz w:val="21"/>
          <w:szCs w:val="21"/>
        </w:rPr>
        <w:t xml:space="preserve">In the last 20 years, considerable effort has gone into monitoring the health of </w:t>
      </w:r>
      <w:proofErr w:type="spellStart"/>
      <w:proofErr w:type="gramStart"/>
      <w:r w:rsidR="00B101DF">
        <w:rPr>
          <w:rFonts w:ascii="Century Gothic" w:hAnsi="Century Gothic"/>
          <w:sz w:val="21"/>
          <w:szCs w:val="21"/>
        </w:rPr>
        <w:t>t</w:t>
      </w:r>
      <w:r w:rsidR="000B60A9">
        <w:rPr>
          <w:rFonts w:ascii="Century Gothic" w:hAnsi="Century Gothic"/>
          <w:sz w:val="21"/>
          <w:szCs w:val="21"/>
        </w:rPr>
        <w:t>e</w:t>
      </w:r>
      <w:proofErr w:type="spellEnd"/>
      <w:proofErr w:type="gramEnd"/>
      <w:r w:rsidR="000B60A9">
        <w:rPr>
          <w:rFonts w:ascii="Century Gothic" w:hAnsi="Century Gothic"/>
          <w:sz w:val="21"/>
          <w:szCs w:val="21"/>
        </w:rPr>
        <w:t xml:space="preserve"> reo Māori</w:t>
      </w:r>
      <w:r w:rsidR="009B7602">
        <w:rPr>
          <w:rFonts w:ascii="Century Gothic" w:hAnsi="Century Gothic"/>
          <w:sz w:val="21"/>
          <w:szCs w:val="21"/>
        </w:rPr>
        <w:t>. H</w:t>
      </w:r>
      <w:r w:rsidRPr="00842426">
        <w:rPr>
          <w:rFonts w:ascii="Century Gothic" w:hAnsi="Century Gothic"/>
          <w:sz w:val="21"/>
          <w:szCs w:val="21"/>
        </w:rPr>
        <w:t xml:space="preserve">owever for many iwi such as </w:t>
      </w:r>
      <w:proofErr w:type="spellStart"/>
      <w:r w:rsidRPr="00842426">
        <w:rPr>
          <w:rFonts w:ascii="Century Gothic" w:hAnsi="Century Gothic"/>
          <w:sz w:val="21"/>
          <w:szCs w:val="21"/>
        </w:rPr>
        <w:t>Ngāti</w:t>
      </w:r>
      <w:proofErr w:type="spellEnd"/>
      <w:r w:rsidRPr="00842426">
        <w:rPr>
          <w:rFonts w:ascii="Century Gothic" w:hAnsi="Century Gothic"/>
          <w:sz w:val="21"/>
          <w:szCs w:val="21"/>
        </w:rPr>
        <w:t xml:space="preserve"> </w:t>
      </w:r>
      <w:proofErr w:type="spellStart"/>
      <w:r w:rsidRPr="00842426">
        <w:rPr>
          <w:rFonts w:ascii="Century Gothic" w:hAnsi="Century Gothic"/>
          <w:sz w:val="21"/>
          <w:szCs w:val="21"/>
        </w:rPr>
        <w:t>Tāmanuhiri</w:t>
      </w:r>
      <w:proofErr w:type="spellEnd"/>
      <w:r w:rsidRPr="00842426">
        <w:rPr>
          <w:rFonts w:ascii="Century Gothic" w:hAnsi="Century Gothic"/>
          <w:sz w:val="21"/>
          <w:szCs w:val="21"/>
        </w:rPr>
        <w:t xml:space="preserve">, </w:t>
      </w:r>
      <w:r w:rsidR="00385840" w:rsidRPr="00842426">
        <w:rPr>
          <w:rFonts w:ascii="Century Gothic" w:hAnsi="Century Gothic"/>
          <w:color w:val="000000" w:themeColor="text1"/>
          <w:sz w:val="21"/>
          <w:szCs w:val="21"/>
        </w:rPr>
        <w:t xml:space="preserve">access to robust and relevant data </w:t>
      </w:r>
      <w:r w:rsidRPr="00842426">
        <w:rPr>
          <w:rFonts w:ascii="Century Gothic" w:hAnsi="Century Gothic"/>
          <w:color w:val="000000" w:themeColor="text1"/>
          <w:sz w:val="21"/>
          <w:szCs w:val="21"/>
        </w:rPr>
        <w:t>is challenging.</w:t>
      </w:r>
      <w:r w:rsidR="0033347B" w:rsidRPr="00842426">
        <w:rPr>
          <w:rFonts w:ascii="Century Gothic" w:hAnsi="Century Gothic"/>
          <w:color w:val="000000" w:themeColor="text1"/>
          <w:sz w:val="21"/>
          <w:szCs w:val="21"/>
        </w:rPr>
        <w:t xml:space="preserve"> </w:t>
      </w:r>
      <w:r w:rsidR="00385840" w:rsidRPr="00842426">
        <w:rPr>
          <w:rFonts w:ascii="Century Gothic" w:hAnsi="Century Gothic"/>
          <w:color w:val="000000" w:themeColor="text1"/>
          <w:sz w:val="21"/>
          <w:szCs w:val="21"/>
        </w:rPr>
        <w:t xml:space="preserve">The </w:t>
      </w:r>
      <w:r w:rsidR="00385840" w:rsidRPr="00842426">
        <w:rPr>
          <w:rFonts w:ascii="Century Gothic" w:hAnsi="Century Gothic"/>
          <w:sz w:val="21"/>
          <w:szCs w:val="21"/>
        </w:rPr>
        <w:t xml:space="preserve">Health of the Māori Language survey, undertaken in 2001 and 2006, provides rich insights into the quality of </w:t>
      </w:r>
      <w:proofErr w:type="spellStart"/>
      <w:proofErr w:type="gramStart"/>
      <w:r w:rsidR="009B7602">
        <w:rPr>
          <w:rFonts w:ascii="Century Gothic" w:hAnsi="Century Gothic"/>
          <w:sz w:val="21"/>
          <w:szCs w:val="21"/>
        </w:rPr>
        <w:t>t</w:t>
      </w:r>
      <w:r w:rsidR="000B60A9">
        <w:rPr>
          <w:rFonts w:ascii="Century Gothic" w:hAnsi="Century Gothic"/>
          <w:sz w:val="21"/>
          <w:szCs w:val="21"/>
        </w:rPr>
        <w:t>e</w:t>
      </w:r>
      <w:proofErr w:type="spellEnd"/>
      <w:proofErr w:type="gramEnd"/>
      <w:r w:rsidR="000B60A9">
        <w:rPr>
          <w:rFonts w:ascii="Century Gothic" w:hAnsi="Century Gothic"/>
          <w:sz w:val="21"/>
          <w:szCs w:val="21"/>
        </w:rPr>
        <w:t xml:space="preserve"> reo Māori</w:t>
      </w:r>
      <w:r w:rsidR="00385840" w:rsidRPr="00842426">
        <w:rPr>
          <w:rFonts w:ascii="Century Gothic" w:hAnsi="Century Gothic"/>
          <w:sz w:val="21"/>
          <w:szCs w:val="21"/>
        </w:rPr>
        <w:t xml:space="preserve"> but was </w:t>
      </w:r>
      <w:r w:rsidR="00D473C4" w:rsidRPr="00842426">
        <w:rPr>
          <w:rFonts w:ascii="Century Gothic" w:hAnsi="Century Gothic"/>
          <w:sz w:val="21"/>
          <w:szCs w:val="21"/>
        </w:rPr>
        <w:t>not intended for</w:t>
      </w:r>
      <w:r w:rsidR="00385840" w:rsidRPr="00842426">
        <w:rPr>
          <w:rFonts w:ascii="Century Gothic" w:hAnsi="Century Gothic"/>
          <w:sz w:val="21"/>
          <w:szCs w:val="21"/>
        </w:rPr>
        <w:t xml:space="preserve"> iwi-specific analysis. It was also subject to sampling errors and</w:t>
      </w:r>
      <w:r w:rsidR="00D473C4" w:rsidRPr="00842426">
        <w:rPr>
          <w:rFonts w:ascii="Century Gothic" w:hAnsi="Century Gothic"/>
          <w:sz w:val="21"/>
          <w:szCs w:val="21"/>
        </w:rPr>
        <w:t xml:space="preserve"> methodological</w:t>
      </w:r>
      <w:r w:rsidR="00385840" w:rsidRPr="00842426">
        <w:rPr>
          <w:rFonts w:ascii="Century Gothic" w:hAnsi="Century Gothic"/>
          <w:sz w:val="21"/>
          <w:szCs w:val="21"/>
        </w:rPr>
        <w:t xml:space="preserve"> inconsistencies which ma</w:t>
      </w:r>
      <w:r w:rsidRPr="00842426">
        <w:rPr>
          <w:rFonts w:ascii="Century Gothic" w:hAnsi="Century Gothic"/>
          <w:sz w:val="21"/>
          <w:szCs w:val="21"/>
        </w:rPr>
        <w:t>de</w:t>
      </w:r>
      <w:r w:rsidR="00385840" w:rsidRPr="00842426">
        <w:rPr>
          <w:rFonts w:ascii="Century Gothic" w:hAnsi="Century Gothic"/>
          <w:sz w:val="21"/>
          <w:szCs w:val="21"/>
        </w:rPr>
        <w:t xml:space="preserve"> it difficult to track trends over time (Bauer 2008; Statistics NZ 2014).</w:t>
      </w:r>
      <w:r w:rsidR="00385840" w:rsidRPr="00842426">
        <w:rPr>
          <w:rFonts w:ascii="Century Gothic" w:hAnsi="Century Gothic"/>
          <w:color w:val="000000" w:themeColor="text1"/>
          <w:sz w:val="21"/>
          <w:szCs w:val="21"/>
        </w:rPr>
        <w:t xml:space="preserve"> </w:t>
      </w:r>
      <w:r w:rsidR="0011556E" w:rsidRPr="00842426">
        <w:rPr>
          <w:rFonts w:ascii="Century Gothic" w:hAnsi="Century Gothic"/>
          <w:color w:val="000000" w:themeColor="text1"/>
          <w:sz w:val="21"/>
          <w:szCs w:val="21"/>
        </w:rPr>
        <w:t>The 2013</w:t>
      </w:r>
      <w:r w:rsidR="00FE6316" w:rsidRPr="00842426">
        <w:rPr>
          <w:rFonts w:ascii="Century Gothic" w:hAnsi="Century Gothic"/>
          <w:color w:val="000000" w:themeColor="text1"/>
          <w:sz w:val="21"/>
          <w:szCs w:val="21"/>
        </w:rPr>
        <w:t xml:space="preserve"> Maori Social Survey, </w:t>
      </w:r>
      <w:proofErr w:type="spellStart"/>
      <w:r w:rsidR="00FE6316" w:rsidRPr="00842426">
        <w:rPr>
          <w:rFonts w:ascii="Century Gothic" w:hAnsi="Century Gothic"/>
          <w:color w:val="000000" w:themeColor="text1"/>
          <w:sz w:val="21"/>
          <w:szCs w:val="21"/>
        </w:rPr>
        <w:t>Te</w:t>
      </w:r>
      <w:proofErr w:type="spellEnd"/>
      <w:r w:rsidR="00FE6316" w:rsidRPr="00842426">
        <w:rPr>
          <w:rFonts w:ascii="Century Gothic" w:hAnsi="Century Gothic"/>
          <w:color w:val="000000" w:themeColor="text1"/>
          <w:sz w:val="21"/>
          <w:szCs w:val="21"/>
        </w:rPr>
        <w:t xml:space="preserve"> </w:t>
      </w:r>
      <w:proofErr w:type="spellStart"/>
      <w:r w:rsidR="00FE6316" w:rsidRPr="00842426">
        <w:rPr>
          <w:rFonts w:ascii="Century Gothic" w:hAnsi="Century Gothic"/>
          <w:color w:val="000000" w:themeColor="text1"/>
          <w:sz w:val="21"/>
          <w:szCs w:val="21"/>
        </w:rPr>
        <w:t>Kupenga</w:t>
      </w:r>
      <w:proofErr w:type="spellEnd"/>
      <w:r w:rsidR="00FE6316" w:rsidRPr="00842426">
        <w:rPr>
          <w:rFonts w:ascii="Century Gothic" w:hAnsi="Century Gothic"/>
          <w:color w:val="000000" w:themeColor="text1"/>
          <w:sz w:val="21"/>
          <w:szCs w:val="21"/>
        </w:rPr>
        <w:t xml:space="preserve">, </w:t>
      </w:r>
      <w:r w:rsidR="00385840" w:rsidRPr="00842426">
        <w:rPr>
          <w:rFonts w:ascii="Century Gothic" w:hAnsi="Century Gothic"/>
          <w:color w:val="000000" w:themeColor="text1"/>
          <w:sz w:val="21"/>
          <w:szCs w:val="21"/>
        </w:rPr>
        <w:t>featured</w:t>
      </w:r>
      <w:r w:rsidR="002B2225" w:rsidRPr="00842426">
        <w:rPr>
          <w:rFonts w:ascii="Century Gothic" w:hAnsi="Century Gothic"/>
          <w:color w:val="000000" w:themeColor="text1"/>
          <w:sz w:val="21"/>
          <w:szCs w:val="21"/>
        </w:rPr>
        <w:t xml:space="preserve"> a </w:t>
      </w:r>
      <w:proofErr w:type="spellStart"/>
      <w:r w:rsidR="009B7602">
        <w:rPr>
          <w:rFonts w:ascii="Century Gothic" w:hAnsi="Century Gothic"/>
          <w:color w:val="000000" w:themeColor="text1"/>
          <w:sz w:val="21"/>
          <w:szCs w:val="21"/>
        </w:rPr>
        <w:t>t</w:t>
      </w:r>
      <w:r w:rsidR="000B60A9">
        <w:rPr>
          <w:rFonts w:ascii="Century Gothic" w:hAnsi="Century Gothic"/>
          <w:color w:val="000000" w:themeColor="text1"/>
          <w:sz w:val="21"/>
          <w:szCs w:val="21"/>
        </w:rPr>
        <w:t>e</w:t>
      </w:r>
      <w:proofErr w:type="spellEnd"/>
      <w:r w:rsidR="000B60A9">
        <w:rPr>
          <w:rFonts w:ascii="Century Gothic" w:hAnsi="Century Gothic"/>
          <w:color w:val="000000" w:themeColor="text1"/>
          <w:sz w:val="21"/>
          <w:szCs w:val="21"/>
        </w:rPr>
        <w:t xml:space="preserve"> reo Māori</w:t>
      </w:r>
      <w:r w:rsidR="00385840" w:rsidRPr="00842426">
        <w:rPr>
          <w:rFonts w:ascii="Century Gothic" w:hAnsi="Century Gothic"/>
          <w:color w:val="000000" w:themeColor="text1"/>
          <w:sz w:val="21"/>
          <w:szCs w:val="21"/>
        </w:rPr>
        <w:t xml:space="preserve"> module </w:t>
      </w:r>
      <w:r w:rsidR="002B2225" w:rsidRPr="00842426">
        <w:rPr>
          <w:rFonts w:ascii="Century Gothic" w:hAnsi="Century Gothic"/>
          <w:color w:val="000000" w:themeColor="text1"/>
          <w:sz w:val="21"/>
          <w:szCs w:val="21"/>
        </w:rPr>
        <w:t xml:space="preserve">which included questions on self-rated proficiency in ability to speak, read, write and understand </w:t>
      </w:r>
      <w:proofErr w:type="spellStart"/>
      <w:r w:rsidR="009B7602">
        <w:rPr>
          <w:rFonts w:ascii="Century Gothic" w:hAnsi="Century Gothic"/>
          <w:color w:val="000000" w:themeColor="text1"/>
          <w:sz w:val="21"/>
          <w:szCs w:val="21"/>
        </w:rPr>
        <w:t>te</w:t>
      </w:r>
      <w:proofErr w:type="spellEnd"/>
      <w:r w:rsidR="009B7602">
        <w:rPr>
          <w:rFonts w:ascii="Century Gothic" w:hAnsi="Century Gothic"/>
          <w:color w:val="000000" w:themeColor="text1"/>
          <w:sz w:val="21"/>
          <w:szCs w:val="21"/>
        </w:rPr>
        <w:t xml:space="preserve"> reo </w:t>
      </w:r>
      <w:r w:rsidR="002B2225" w:rsidRPr="00842426">
        <w:rPr>
          <w:rFonts w:ascii="Century Gothic" w:hAnsi="Century Gothic"/>
          <w:color w:val="000000" w:themeColor="text1"/>
          <w:sz w:val="21"/>
          <w:szCs w:val="21"/>
        </w:rPr>
        <w:t>Māori; first language understood; and language spoken at home and in other contexts (e.g., sports</w:t>
      </w:r>
      <w:r w:rsidR="005E49C0" w:rsidRPr="00842426">
        <w:rPr>
          <w:rFonts w:ascii="Century Gothic" w:hAnsi="Century Gothic"/>
          <w:color w:val="000000" w:themeColor="text1"/>
          <w:sz w:val="21"/>
          <w:szCs w:val="21"/>
        </w:rPr>
        <w:t xml:space="preserve"> clubs</w:t>
      </w:r>
      <w:r w:rsidR="002B2225" w:rsidRPr="00842426">
        <w:rPr>
          <w:rFonts w:ascii="Century Gothic" w:hAnsi="Century Gothic"/>
          <w:color w:val="000000" w:themeColor="text1"/>
          <w:sz w:val="21"/>
          <w:szCs w:val="21"/>
        </w:rPr>
        <w:t xml:space="preserve">). </w:t>
      </w:r>
      <w:r w:rsidR="00842426" w:rsidRPr="00842426">
        <w:rPr>
          <w:rFonts w:ascii="Century Gothic" w:hAnsi="Century Gothic"/>
          <w:color w:val="000000" w:themeColor="text1"/>
          <w:sz w:val="21"/>
          <w:szCs w:val="21"/>
        </w:rPr>
        <w:t xml:space="preserve"> </w:t>
      </w:r>
      <w:r w:rsidR="00B101DF">
        <w:rPr>
          <w:rFonts w:ascii="Century Gothic" w:hAnsi="Century Gothic"/>
          <w:color w:val="000000" w:themeColor="text1"/>
          <w:sz w:val="21"/>
          <w:szCs w:val="21"/>
        </w:rPr>
        <w:t>About</w:t>
      </w:r>
      <w:r w:rsidR="00842426" w:rsidRPr="00842426">
        <w:rPr>
          <w:rFonts w:ascii="Century Gothic" w:hAnsi="Century Gothic"/>
          <w:color w:val="000000" w:themeColor="text1"/>
          <w:sz w:val="21"/>
          <w:szCs w:val="21"/>
        </w:rPr>
        <w:t xml:space="preserve"> </w:t>
      </w:r>
      <w:r w:rsidR="00842426" w:rsidRPr="00842426">
        <w:rPr>
          <w:rFonts w:ascii="Century Gothic" w:hAnsi="Century Gothic" w:cs="Arial"/>
          <w:color w:val="000000"/>
          <w:sz w:val="21"/>
          <w:szCs w:val="21"/>
          <w:shd w:val="clear" w:color="auto" w:fill="FFFFFF"/>
        </w:rPr>
        <w:t xml:space="preserve">11 percent of </w:t>
      </w:r>
      <w:proofErr w:type="spellStart"/>
      <w:r w:rsidR="00B101DF">
        <w:rPr>
          <w:rFonts w:ascii="Century Gothic" w:hAnsi="Century Gothic" w:cs="Arial"/>
          <w:color w:val="000000"/>
          <w:sz w:val="21"/>
          <w:szCs w:val="21"/>
          <w:shd w:val="clear" w:color="auto" w:fill="FFFFFF"/>
        </w:rPr>
        <w:t>Te</w:t>
      </w:r>
      <w:proofErr w:type="spellEnd"/>
      <w:r w:rsidR="00B101DF">
        <w:rPr>
          <w:rFonts w:ascii="Century Gothic" w:hAnsi="Century Gothic" w:cs="Arial"/>
          <w:color w:val="000000"/>
          <w:sz w:val="21"/>
          <w:szCs w:val="21"/>
          <w:shd w:val="clear" w:color="auto" w:fill="FFFFFF"/>
        </w:rPr>
        <w:t xml:space="preserve"> </w:t>
      </w:r>
      <w:proofErr w:type="spellStart"/>
      <w:r w:rsidR="00B101DF">
        <w:rPr>
          <w:rFonts w:ascii="Century Gothic" w:hAnsi="Century Gothic" w:cs="Arial"/>
          <w:color w:val="000000"/>
          <w:sz w:val="21"/>
          <w:szCs w:val="21"/>
          <w:shd w:val="clear" w:color="auto" w:fill="FFFFFF"/>
        </w:rPr>
        <w:t>Kupenga</w:t>
      </w:r>
      <w:proofErr w:type="spellEnd"/>
      <w:r w:rsidR="00B101DF">
        <w:rPr>
          <w:rFonts w:ascii="Century Gothic" w:hAnsi="Century Gothic" w:cs="Arial"/>
          <w:color w:val="000000"/>
          <w:sz w:val="21"/>
          <w:szCs w:val="21"/>
          <w:shd w:val="clear" w:color="auto" w:fill="FFFFFF"/>
        </w:rPr>
        <w:t xml:space="preserve"> </w:t>
      </w:r>
      <w:r w:rsidR="00842426" w:rsidRPr="00842426">
        <w:rPr>
          <w:rFonts w:ascii="Century Gothic" w:hAnsi="Century Gothic" w:cs="Arial"/>
          <w:color w:val="000000"/>
          <w:sz w:val="21"/>
          <w:szCs w:val="21"/>
          <w:shd w:val="clear" w:color="auto" w:fill="FFFFFF"/>
        </w:rPr>
        <w:t xml:space="preserve">respondents (equating to about 50,000 Māori) reported that they could speak </w:t>
      </w:r>
      <w:proofErr w:type="spellStart"/>
      <w:proofErr w:type="gramStart"/>
      <w:r w:rsidR="009B7602">
        <w:rPr>
          <w:rFonts w:ascii="Century Gothic" w:hAnsi="Century Gothic" w:cs="Arial"/>
          <w:color w:val="000000"/>
          <w:sz w:val="21"/>
          <w:szCs w:val="21"/>
          <w:shd w:val="clear" w:color="auto" w:fill="FFFFFF"/>
        </w:rPr>
        <w:t>te</w:t>
      </w:r>
      <w:proofErr w:type="spellEnd"/>
      <w:proofErr w:type="gramEnd"/>
      <w:r w:rsidR="009B7602">
        <w:rPr>
          <w:rFonts w:ascii="Century Gothic" w:hAnsi="Century Gothic" w:cs="Arial"/>
          <w:color w:val="000000"/>
          <w:sz w:val="21"/>
          <w:szCs w:val="21"/>
          <w:shd w:val="clear" w:color="auto" w:fill="FFFFFF"/>
        </w:rPr>
        <w:t xml:space="preserve"> r</w:t>
      </w:r>
      <w:r w:rsidR="00047DBD">
        <w:rPr>
          <w:rFonts w:ascii="Century Gothic" w:hAnsi="Century Gothic" w:cs="Arial"/>
          <w:color w:val="000000"/>
          <w:sz w:val="21"/>
          <w:szCs w:val="21"/>
          <w:shd w:val="clear" w:color="auto" w:fill="FFFFFF"/>
        </w:rPr>
        <w:t>eo Māori</w:t>
      </w:r>
      <w:r w:rsidR="00842426" w:rsidRPr="00842426">
        <w:rPr>
          <w:rFonts w:ascii="Century Gothic" w:hAnsi="Century Gothic" w:cs="Arial"/>
          <w:color w:val="000000"/>
          <w:sz w:val="21"/>
          <w:szCs w:val="21"/>
          <w:shd w:val="clear" w:color="auto" w:fill="FFFFFF"/>
        </w:rPr>
        <w:t xml:space="preserve"> very well or well, 12 percent could speak fairly well, and 32 percent could talk about simple/basic things in </w:t>
      </w:r>
      <w:proofErr w:type="spellStart"/>
      <w:r w:rsidR="000B60A9">
        <w:rPr>
          <w:rFonts w:ascii="Century Gothic" w:hAnsi="Century Gothic" w:cs="Arial"/>
          <w:color w:val="000000"/>
          <w:sz w:val="21"/>
          <w:szCs w:val="21"/>
          <w:shd w:val="clear" w:color="auto" w:fill="FFFFFF"/>
        </w:rPr>
        <w:t>te</w:t>
      </w:r>
      <w:proofErr w:type="spellEnd"/>
      <w:r w:rsidR="000B60A9">
        <w:rPr>
          <w:rFonts w:ascii="Century Gothic" w:hAnsi="Century Gothic" w:cs="Arial"/>
          <w:color w:val="000000"/>
          <w:sz w:val="21"/>
          <w:szCs w:val="21"/>
          <w:shd w:val="clear" w:color="auto" w:fill="FFFFFF"/>
        </w:rPr>
        <w:t xml:space="preserve"> reo Māori</w:t>
      </w:r>
      <w:r w:rsidR="00842426" w:rsidRPr="00842426">
        <w:rPr>
          <w:rFonts w:ascii="Century Gothic" w:hAnsi="Century Gothic" w:cs="Arial"/>
          <w:color w:val="000000"/>
          <w:sz w:val="21"/>
          <w:szCs w:val="21"/>
          <w:shd w:val="clear" w:color="auto" w:fill="FFFFFF"/>
        </w:rPr>
        <w:t xml:space="preserve">. The remaining 45 percent could speak no more than a few words or phrases. Those who were able to speak </w:t>
      </w:r>
      <w:proofErr w:type="spellStart"/>
      <w:proofErr w:type="gramStart"/>
      <w:r w:rsidR="009B7602">
        <w:rPr>
          <w:rFonts w:ascii="Century Gothic" w:hAnsi="Century Gothic" w:cs="Arial"/>
          <w:color w:val="000000"/>
          <w:sz w:val="21"/>
          <w:szCs w:val="21"/>
          <w:shd w:val="clear" w:color="auto" w:fill="FFFFFF"/>
        </w:rPr>
        <w:t>te</w:t>
      </w:r>
      <w:proofErr w:type="spellEnd"/>
      <w:proofErr w:type="gramEnd"/>
      <w:r w:rsidR="009B7602">
        <w:rPr>
          <w:rFonts w:ascii="Century Gothic" w:hAnsi="Century Gothic" w:cs="Arial"/>
          <w:color w:val="000000"/>
          <w:sz w:val="21"/>
          <w:szCs w:val="21"/>
          <w:shd w:val="clear" w:color="auto" w:fill="FFFFFF"/>
        </w:rPr>
        <w:t xml:space="preserve"> r</w:t>
      </w:r>
      <w:r w:rsidR="00047DBD">
        <w:rPr>
          <w:rFonts w:ascii="Century Gothic" w:hAnsi="Century Gothic" w:cs="Arial"/>
          <w:color w:val="000000"/>
          <w:sz w:val="21"/>
          <w:szCs w:val="21"/>
          <w:shd w:val="clear" w:color="auto" w:fill="FFFFFF"/>
        </w:rPr>
        <w:t>eo Māori</w:t>
      </w:r>
      <w:r w:rsidR="00842426" w:rsidRPr="00842426">
        <w:rPr>
          <w:rFonts w:ascii="Century Gothic" w:hAnsi="Century Gothic" w:cs="Arial"/>
          <w:color w:val="000000"/>
          <w:sz w:val="21"/>
          <w:szCs w:val="21"/>
          <w:shd w:val="clear" w:color="auto" w:fill="FFFFFF"/>
        </w:rPr>
        <w:t xml:space="preserve"> very well, well, or fairly well were more likely to use the language outside the home than inside. There was also a strong relationship between </w:t>
      </w:r>
      <w:proofErr w:type="spellStart"/>
      <w:proofErr w:type="gramStart"/>
      <w:r w:rsidR="00047DBD">
        <w:rPr>
          <w:rFonts w:ascii="Century Gothic" w:hAnsi="Century Gothic" w:cs="Arial"/>
          <w:color w:val="000000"/>
          <w:sz w:val="21"/>
          <w:szCs w:val="21"/>
          <w:shd w:val="clear" w:color="auto" w:fill="FFFFFF"/>
        </w:rPr>
        <w:t>te</w:t>
      </w:r>
      <w:proofErr w:type="spellEnd"/>
      <w:proofErr w:type="gramEnd"/>
      <w:r w:rsidR="00047DBD">
        <w:rPr>
          <w:rFonts w:ascii="Century Gothic" w:hAnsi="Century Gothic" w:cs="Arial"/>
          <w:color w:val="000000"/>
          <w:sz w:val="21"/>
          <w:szCs w:val="21"/>
          <w:shd w:val="clear" w:color="auto" w:fill="FFFFFF"/>
        </w:rPr>
        <w:t xml:space="preserve"> </w:t>
      </w:r>
      <w:r w:rsidR="009B7602">
        <w:rPr>
          <w:rFonts w:ascii="Century Gothic" w:hAnsi="Century Gothic" w:cs="Arial"/>
          <w:color w:val="000000"/>
          <w:sz w:val="21"/>
          <w:szCs w:val="21"/>
          <w:shd w:val="clear" w:color="auto" w:fill="FFFFFF"/>
        </w:rPr>
        <w:t>r</w:t>
      </w:r>
      <w:r w:rsidR="00047DBD">
        <w:rPr>
          <w:rFonts w:ascii="Century Gothic" w:hAnsi="Century Gothic" w:cs="Arial"/>
          <w:color w:val="000000"/>
          <w:sz w:val="21"/>
          <w:szCs w:val="21"/>
          <w:shd w:val="clear" w:color="auto" w:fill="FFFFFF"/>
        </w:rPr>
        <w:t>eo Māori</w:t>
      </w:r>
      <w:r w:rsidR="00842426" w:rsidRPr="00842426">
        <w:rPr>
          <w:rFonts w:ascii="Century Gothic" w:hAnsi="Century Gothic" w:cs="Arial"/>
          <w:color w:val="000000"/>
          <w:sz w:val="21"/>
          <w:szCs w:val="21"/>
          <w:shd w:val="clear" w:color="auto" w:fill="FFFFFF"/>
        </w:rPr>
        <w:t xml:space="preserve"> and other aspects of culture</w:t>
      </w:r>
      <w:r w:rsidR="00B101DF">
        <w:rPr>
          <w:rFonts w:ascii="Century Gothic" w:hAnsi="Century Gothic" w:cs="Arial"/>
          <w:color w:val="000000"/>
          <w:sz w:val="21"/>
          <w:szCs w:val="21"/>
          <w:shd w:val="clear" w:color="auto" w:fill="FFFFFF"/>
        </w:rPr>
        <w:t xml:space="preserve">. Individuals who grew up with </w:t>
      </w:r>
      <w:proofErr w:type="spellStart"/>
      <w:r w:rsidR="00047DBD">
        <w:rPr>
          <w:rFonts w:ascii="Century Gothic" w:hAnsi="Century Gothic" w:cs="Arial"/>
          <w:color w:val="000000"/>
          <w:sz w:val="21"/>
          <w:szCs w:val="21"/>
          <w:shd w:val="clear" w:color="auto" w:fill="FFFFFF"/>
        </w:rPr>
        <w:t>te</w:t>
      </w:r>
      <w:proofErr w:type="spellEnd"/>
      <w:r w:rsidR="00047DBD">
        <w:rPr>
          <w:rFonts w:ascii="Century Gothic" w:hAnsi="Century Gothic" w:cs="Arial"/>
          <w:color w:val="000000"/>
          <w:sz w:val="21"/>
          <w:szCs w:val="21"/>
          <w:shd w:val="clear" w:color="auto" w:fill="FFFFFF"/>
        </w:rPr>
        <w:t xml:space="preserve"> </w:t>
      </w:r>
      <w:r w:rsidR="009B7602">
        <w:rPr>
          <w:rFonts w:ascii="Century Gothic" w:hAnsi="Century Gothic" w:cs="Arial"/>
          <w:color w:val="000000"/>
          <w:sz w:val="21"/>
          <w:szCs w:val="21"/>
          <w:shd w:val="clear" w:color="auto" w:fill="FFFFFF"/>
        </w:rPr>
        <w:t>r</w:t>
      </w:r>
      <w:r w:rsidR="00047DBD">
        <w:rPr>
          <w:rFonts w:ascii="Century Gothic" w:hAnsi="Century Gothic" w:cs="Arial"/>
          <w:color w:val="000000"/>
          <w:sz w:val="21"/>
          <w:szCs w:val="21"/>
          <w:shd w:val="clear" w:color="auto" w:fill="FFFFFF"/>
        </w:rPr>
        <w:t>eo Māori</w:t>
      </w:r>
      <w:r w:rsidR="00842426" w:rsidRPr="00842426">
        <w:rPr>
          <w:rFonts w:ascii="Century Gothic" w:hAnsi="Century Gothic" w:cs="Arial"/>
          <w:color w:val="000000"/>
          <w:sz w:val="21"/>
          <w:szCs w:val="21"/>
          <w:shd w:val="clear" w:color="auto" w:fill="FFFFFF"/>
        </w:rPr>
        <w:t xml:space="preserve"> as their first language, who knew all aspects of their </w:t>
      </w:r>
      <w:proofErr w:type="spellStart"/>
      <w:r w:rsidR="00842426" w:rsidRPr="00842426">
        <w:rPr>
          <w:rFonts w:ascii="Century Gothic" w:hAnsi="Century Gothic" w:cs="Arial"/>
          <w:color w:val="000000"/>
          <w:sz w:val="21"/>
          <w:szCs w:val="21"/>
          <w:shd w:val="clear" w:color="auto" w:fill="FFFFFF"/>
        </w:rPr>
        <w:t>pepeha</w:t>
      </w:r>
      <w:proofErr w:type="spellEnd"/>
      <w:r w:rsidR="00842426" w:rsidRPr="00842426">
        <w:rPr>
          <w:rFonts w:ascii="Century Gothic" w:hAnsi="Century Gothic" w:cs="Arial"/>
          <w:color w:val="000000"/>
          <w:sz w:val="21"/>
          <w:szCs w:val="21"/>
          <w:shd w:val="clear" w:color="auto" w:fill="FFFFFF"/>
        </w:rPr>
        <w:t xml:space="preserve">, and who felt it was very important to be involved in Māori culture were more likely to speak </w:t>
      </w:r>
      <w:proofErr w:type="spellStart"/>
      <w:r w:rsidR="00047DBD">
        <w:rPr>
          <w:rFonts w:ascii="Century Gothic" w:hAnsi="Century Gothic" w:cs="Arial"/>
          <w:color w:val="000000"/>
          <w:sz w:val="21"/>
          <w:szCs w:val="21"/>
          <w:shd w:val="clear" w:color="auto" w:fill="FFFFFF"/>
        </w:rPr>
        <w:t>te</w:t>
      </w:r>
      <w:proofErr w:type="spellEnd"/>
      <w:r w:rsidR="00047DBD">
        <w:rPr>
          <w:rFonts w:ascii="Century Gothic" w:hAnsi="Century Gothic" w:cs="Arial"/>
          <w:color w:val="000000"/>
          <w:sz w:val="21"/>
          <w:szCs w:val="21"/>
          <w:shd w:val="clear" w:color="auto" w:fill="FFFFFF"/>
        </w:rPr>
        <w:t xml:space="preserve"> </w:t>
      </w:r>
      <w:r w:rsidR="009B7602">
        <w:rPr>
          <w:rFonts w:ascii="Century Gothic" w:hAnsi="Century Gothic" w:cs="Arial"/>
          <w:color w:val="000000"/>
          <w:sz w:val="21"/>
          <w:szCs w:val="21"/>
          <w:shd w:val="clear" w:color="auto" w:fill="FFFFFF"/>
        </w:rPr>
        <w:t>r</w:t>
      </w:r>
      <w:r w:rsidR="00047DBD">
        <w:rPr>
          <w:rFonts w:ascii="Century Gothic" w:hAnsi="Century Gothic" w:cs="Arial"/>
          <w:color w:val="000000"/>
          <w:sz w:val="21"/>
          <w:szCs w:val="21"/>
          <w:shd w:val="clear" w:color="auto" w:fill="FFFFFF"/>
        </w:rPr>
        <w:t>eo Māori</w:t>
      </w:r>
      <w:r w:rsidR="00842426" w:rsidRPr="00842426">
        <w:rPr>
          <w:rFonts w:ascii="Century Gothic" w:hAnsi="Century Gothic" w:cs="Arial"/>
          <w:color w:val="000000"/>
          <w:sz w:val="21"/>
          <w:szCs w:val="21"/>
          <w:shd w:val="clear" w:color="auto" w:fill="FFFFFF"/>
        </w:rPr>
        <w:t xml:space="preserve"> very well or well</w:t>
      </w:r>
      <w:r w:rsidR="00842426">
        <w:rPr>
          <w:rFonts w:ascii="Century Gothic" w:hAnsi="Century Gothic" w:cs="Arial"/>
          <w:color w:val="000000"/>
          <w:sz w:val="21"/>
          <w:szCs w:val="21"/>
          <w:shd w:val="clear" w:color="auto" w:fill="FFFFFF"/>
        </w:rPr>
        <w:t xml:space="preserve"> (Ministry of Social Development, 2016)</w:t>
      </w:r>
      <w:r w:rsidR="00842426" w:rsidRPr="00842426">
        <w:rPr>
          <w:rFonts w:ascii="Century Gothic" w:hAnsi="Century Gothic" w:cs="Arial"/>
          <w:color w:val="000000"/>
          <w:sz w:val="21"/>
          <w:szCs w:val="21"/>
          <w:shd w:val="clear" w:color="auto" w:fill="FFFFFF"/>
        </w:rPr>
        <w:t>.</w:t>
      </w:r>
    </w:p>
    <w:p w14:paraId="759FC961" w14:textId="77777777" w:rsidR="0065189F" w:rsidRDefault="0065189F" w:rsidP="00B101DF">
      <w:pPr>
        <w:spacing w:line="360" w:lineRule="auto"/>
        <w:rPr>
          <w:rFonts w:ascii="Century Gothic" w:hAnsi="Century Gothic" w:cs="Arial"/>
          <w:color w:val="000000"/>
          <w:sz w:val="21"/>
          <w:szCs w:val="21"/>
          <w:shd w:val="clear" w:color="auto" w:fill="FFFFFF"/>
        </w:rPr>
      </w:pPr>
    </w:p>
    <w:p w14:paraId="0DFD787D" w14:textId="77777777" w:rsidR="0065189F" w:rsidRDefault="0065189F" w:rsidP="00B101DF">
      <w:pPr>
        <w:spacing w:line="360" w:lineRule="auto"/>
        <w:rPr>
          <w:rFonts w:ascii="Century Gothic" w:hAnsi="Century Gothic" w:cs="Arial"/>
          <w:color w:val="000000"/>
          <w:sz w:val="21"/>
          <w:szCs w:val="21"/>
          <w:shd w:val="clear" w:color="auto" w:fill="FFFFFF"/>
        </w:rPr>
      </w:pPr>
    </w:p>
    <w:p w14:paraId="50041CC4" w14:textId="77777777" w:rsidR="0065189F" w:rsidRDefault="0065189F" w:rsidP="00B101DF">
      <w:pPr>
        <w:spacing w:line="360" w:lineRule="auto"/>
        <w:rPr>
          <w:rFonts w:ascii="Century Gothic" w:hAnsi="Century Gothic"/>
          <w:color w:val="000000" w:themeColor="text1"/>
          <w:sz w:val="21"/>
          <w:szCs w:val="21"/>
        </w:rPr>
      </w:pPr>
    </w:p>
    <w:p w14:paraId="10EB43C9" w14:textId="794BCB05" w:rsidR="00B05CF8" w:rsidRDefault="00FE6316" w:rsidP="009B7602">
      <w:pPr>
        <w:spacing w:line="360" w:lineRule="auto"/>
        <w:rPr>
          <w:rFonts w:ascii="Century Gothic" w:hAnsi="Century Gothic"/>
          <w:color w:val="000000" w:themeColor="text1"/>
          <w:sz w:val="21"/>
          <w:szCs w:val="21"/>
        </w:rPr>
      </w:pPr>
      <w:r w:rsidRPr="00385840">
        <w:rPr>
          <w:rFonts w:ascii="Century Gothic" w:hAnsi="Century Gothic"/>
          <w:color w:val="000000" w:themeColor="text1"/>
          <w:sz w:val="21"/>
          <w:szCs w:val="21"/>
        </w:rPr>
        <w:lastRenderedPageBreak/>
        <w:t xml:space="preserve">Although </w:t>
      </w:r>
      <w:proofErr w:type="spellStart"/>
      <w:r w:rsidR="0011556E">
        <w:rPr>
          <w:rFonts w:ascii="Century Gothic" w:hAnsi="Century Gothic"/>
          <w:color w:val="000000" w:themeColor="text1"/>
          <w:sz w:val="21"/>
          <w:szCs w:val="21"/>
        </w:rPr>
        <w:t>Te</w:t>
      </w:r>
      <w:proofErr w:type="spellEnd"/>
      <w:r w:rsidR="0011556E">
        <w:rPr>
          <w:rFonts w:ascii="Century Gothic" w:hAnsi="Century Gothic"/>
          <w:color w:val="000000" w:themeColor="text1"/>
          <w:sz w:val="21"/>
          <w:szCs w:val="21"/>
        </w:rPr>
        <w:t xml:space="preserve"> </w:t>
      </w:r>
      <w:proofErr w:type="spellStart"/>
      <w:r w:rsidR="0011556E">
        <w:rPr>
          <w:rFonts w:ascii="Century Gothic" w:hAnsi="Century Gothic"/>
          <w:color w:val="000000" w:themeColor="text1"/>
          <w:sz w:val="21"/>
          <w:szCs w:val="21"/>
        </w:rPr>
        <w:t>Kupenga</w:t>
      </w:r>
      <w:proofErr w:type="spellEnd"/>
      <w:r w:rsidR="0011556E">
        <w:rPr>
          <w:rFonts w:ascii="Century Gothic" w:hAnsi="Century Gothic"/>
          <w:color w:val="000000" w:themeColor="text1"/>
          <w:sz w:val="21"/>
          <w:szCs w:val="21"/>
        </w:rPr>
        <w:t xml:space="preserve"> is a </w:t>
      </w:r>
      <w:r w:rsidRPr="00385840">
        <w:rPr>
          <w:rFonts w:ascii="Century Gothic" w:hAnsi="Century Gothic"/>
          <w:color w:val="000000" w:themeColor="text1"/>
          <w:sz w:val="21"/>
          <w:szCs w:val="21"/>
        </w:rPr>
        <w:t>nationally representative</w:t>
      </w:r>
      <w:r w:rsidR="0011556E">
        <w:rPr>
          <w:rFonts w:ascii="Century Gothic" w:hAnsi="Century Gothic"/>
          <w:color w:val="000000" w:themeColor="text1"/>
          <w:sz w:val="21"/>
          <w:szCs w:val="21"/>
        </w:rPr>
        <w:t xml:space="preserve"> post-</w:t>
      </w:r>
      <w:proofErr w:type="spellStart"/>
      <w:r w:rsidR="0011556E">
        <w:rPr>
          <w:rFonts w:ascii="Century Gothic" w:hAnsi="Century Gothic"/>
          <w:color w:val="000000" w:themeColor="text1"/>
          <w:sz w:val="21"/>
          <w:szCs w:val="21"/>
        </w:rPr>
        <w:t>censal</w:t>
      </w:r>
      <w:proofErr w:type="spellEnd"/>
      <w:r w:rsidR="0011556E">
        <w:rPr>
          <w:rFonts w:ascii="Century Gothic" w:hAnsi="Century Gothic"/>
          <w:color w:val="000000" w:themeColor="text1"/>
          <w:sz w:val="21"/>
          <w:szCs w:val="21"/>
        </w:rPr>
        <w:t xml:space="preserve"> survey</w:t>
      </w:r>
      <w:r w:rsidRPr="00385840">
        <w:rPr>
          <w:rFonts w:ascii="Century Gothic" w:hAnsi="Century Gothic"/>
          <w:color w:val="000000" w:themeColor="text1"/>
          <w:sz w:val="21"/>
          <w:szCs w:val="21"/>
        </w:rPr>
        <w:t xml:space="preserve">, the modest sample size of </w:t>
      </w:r>
      <w:r w:rsidR="002B2225" w:rsidRPr="00385840">
        <w:rPr>
          <w:rFonts w:ascii="Century Gothic" w:hAnsi="Century Gothic"/>
          <w:color w:val="444444"/>
          <w:sz w:val="21"/>
          <w:szCs w:val="21"/>
          <w:shd w:val="clear" w:color="auto" w:fill="FFFFFF"/>
        </w:rPr>
        <w:t xml:space="preserve">5,549 individuals </w:t>
      </w:r>
      <w:r w:rsidRPr="00385840">
        <w:rPr>
          <w:rFonts w:ascii="Century Gothic" w:hAnsi="Century Gothic"/>
          <w:color w:val="000000" w:themeColor="text1"/>
          <w:sz w:val="21"/>
          <w:szCs w:val="21"/>
        </w:rPr>
        <w:t xml:space="preserve">means that iwi-specific analysis </w:t>
      </w:r>
      <w:r w:rsidR="0011556E">
        <w:rPr>
          <w:rFonts w:ascii="Century Gothic" w:hAnsi="Century Gothic"/>
          <w:color w:val="000000" w:themeColor="text1"/>
          <w:sz w:val="21"/>
          <w:szCs w:val="21"/>
        </w:rPr>
        <w:t>can only be undertaken</w:t>
      </w:r>
      <w:r w:rsidRPr="00385840">
        <w:rPr>
          <w:rFonts w:ascii="Century Gothic" w:hAnsi="Century Gothic"/>
          <w:color w:val="000000" w:themeColor="text1"/>
          <w:sz w:val="21"/>
          <w:szCs w:val="21"/>
        </w:rPr>
        <w:t xml:space="preserve"> </w:t>
      </w:r>
      <w:r w:rsidR="002B2225" w:rsidRPr="00385840">
        <w:rPr>
          <w:rFonts w:ascii="Century Gothic" w:hAnsi="Century Gothic"/>
          <w:color w:val="000000" w:themeColor="text1"/>
          <w:sz w:val="21"/>
          <w:szCs w:val="21"/>
        </w:rPr>
        <w:t>for the eight largest iwi.</w:t>
      </w:r>
      <w:r w:rsidR="002B2225" w:rsidRPr="00385840">
        <w:rPr>
          <w:rStyle w:val="FootnoteReference"/>
          <w:rFonts w:ascii="Century Gothic" w:hAnsi="Century Gothic"/>
          <w:color w:val="000000" w:themeColor="text1"/>
          <w:sz w:val="21"/>
          <w:szCs w:val="21"/>
        </w:rPr>
        <w:footnoteReference w:id="1"/>
      </w:r>
      <w:r w:rsidR="00B05CF8">
        <w:rPr>
          <w:rFonts w:ascii="Century Gothic" w:hAnsi="Century Gothic"/>
          <w:color w:val="000000" w:themeColor="text1"/>
          <w:sz w:val="21"/>
          <w:szCs w:val="21"/>
        </w:rPr>
        <w:t xml:space="preserve"> </w:t>
      </w:r>
      <w:r w:rsidR="0011556E">
        <w:rPr>
          <w:rFonts w:ascii="Century Gothic" w:hAnsi="Century Gothic"/>
          <w:color w:val="000000" w:themeColor="text1"/>
          <w:sz w:val="21"/>
          <w:szCs w:val="21"/>
        </w:rPr>
        <w:t xml:space="preserve">Thus, for the vast majority of iwi, the </w:t>
      </w:r>
      <w:r w:rsidRPr="00751A5B">
        <w:rPr>
          <w:rFonts w:ascii="Century Gothic" w:hAnsi="Century Gothic"/>
          <w:color w:val="000000" w:themeColor="text1"/>
          <w:sz w:val="21"/>
          <w:szCs w:val="21"/>
        </w:rPr>
        <w:t xml:space="preserve">census remains the only </w:t>
      </w:r>
      <w:r w:rsidR="00B05CF8">
        <w:rPr>
          <w:rFonts w:ascii="Century Gothic" w:hAnsi="Century Gothic"/>
          <w:color w:val="000000" w:themeColor="text1"/>
          <w:sz w:val="21"/>
          <w:szCs w:val="21"/>
        </w:rPr>
        <w:t xml:space="preserve">representative source of </w:t>
      </w:r>
      <w:r w:rsidR="0011556E">
        <w:rPr>
          <w:rFonts w:ascii="Century Gothic" w:hAnsi="Century Gothic"/>
          <w:color w:val="000000" w:themeColor="text1"/>
          <w:sz w:val="21"/>
          <w:szCs w:val="21"/>
        </w:rPr>
        <w:t xml:space="preserve">data on </w:t>
      </w:r>
      <w:proofErr w:type="spellStart"/>
      <w:proofErr w:type="gramStart"/>
      <w:r w:rsidR="009B7602">
        <w:rPr>
          <w:rFonts w:ascii="Century Gothic" w:hAnsi="Century Gothic"/>
          <w:color w:val="000000" w:themeColor="text1"/>
          <w:sz w:val="21"/>
          <w:szCs w:val="21"/>
        </w:rPr>
        <w:t>t</w:t>
      </w:r>
      <w:r w:rsidR="000B60A9">
        <w:rPr>
          <w:rFonts w:ascii="Century Gothic" w:hAnsi="Century Gothic"/>
          <w:color w:val="000000" w:themeColor="text1"/>
          <w:sz w:val="21"/>
          <w:szCs w:val="21"/>
        </w:rPr>
        <w:t>e</w:t>
      </w:r>
      <w:proofErr w:type="spellEnd"/>
      <w:proofErr w:type="gramEnd"/>
      <w:r w:rsidR="000B60A9">
        <w:rPr>
          <w:rFonts w:ascii="Century Gothic" w:hAnsi="Century Gothic"/>
          <w:color w:val="000000" w:themeColor="text1"/>
          <w:sz w:val="21"/>
          <w:szCs w:val="21"/>
        </w:rPr>
        <w:t xml:space="preserve"> reo Māori</w:t>
      </w:r>
      <w:r>
        <w:rPr>
          <w:rFonts w:ascii="Century Gothic" w:hAnsi="Century Gothic"/>
          <w:color w:val="000000" w:themeColor="text1"/>
          <w:sz w:val="21"/>
          <w:szCs w:val="21"/>
        </w:rPr>
        <w:t>.</w:t>
      </w:r>
      <w:r w:rsidRPr="00751A5B">
        <w:rPr>
          <w:rStyle w:val="FootnoteReference"/>
          <w:rFonts w:ascii="Century Gothic" w:hAnsi="Century Gothic"/>
          <w:color w:val="000000" w:themeColor="text1"/>
          <w:sz w:val="21"/>
          <w:szCs w:val="21"/>
        </w:rPr>
        <w:footnoteReference w:id="2"/>
      </w:r>
      <w:r w:rsidR="00B05CF8">
        <w:rPr>
          <w:rFonts w:ascii="Century Gothic" w:hAnsi="Century Gothic"/>
          <w:color w:val="000000" w:themeColor="text1"/>
          <w:sz w:val="21"/>
          <w:szCs w:val="21"/>
        </w:rPr>
        <w:t xml:space="preserve"> </w:t>
      </w:r>
    </w:p>
    <w:p w14:paraId="1FDE13BB" w14:textId="7DD36E79" w:rsidR="00FE6316" w:rsidRPr="00B05CF8" w:rsidRDefault="00B05CF8" w:rsidP="00B05CF8">
      <w:pPr>
        <w:spacing w:line="360" w:lineRule="auto"/>
        <w:rPr>
          <w:rFonts w:ascii="Century Gothic" w:hAnsi="Century Gothic"/>
          <w:color w:val="000000" w:themeColor="text1"/>
          <w:sz w:val="21"/>
          <w:szCs w:val="21"/>
        </w:rPr>
      </w:pPr>
      <w:r w:rsidRPr="00B05CF8">
        <w:rPr>
          <w:rFonts w:ascii="Century Gothic" w:hAnsi="Century Gothic"/>
          <w:sz w:val="21"/>
          <w:szCs w:val="21"/>
        </w:rPr>
        <w:t xml:space="preserve">Since 1996 every census has included a question about the language(s) in which individuals can converse about a lot of everyday things. The strength of the census question is that it provides a consistent time series of the number and proportion of </w:t>
      </w:r>
      <w:proofErr w:type="spellStart"/>
      <w:r w:rsidR="000B60A9">
        <w:rPr>
          <w:rFonts w:ascii="Century Gothic" w:hAnsi="Century Gothic"/>
          <w:sz w:val="21"/>
          <w:szCs w:val="21"/>
        </w:rPr>
        <w:t>te</w:t>
      </w:r>
      <w:proofErr w:type="spellEnd"/>
      <w:r w:rsidR="000B60A9">
        <w:rPr>
          <w:rFonts w:ascii="Century Gothic" w:hAnsi="Century Gothic"/>
          <w:sz w:val="21"/>
          <w:szCs w:val="21"/>
        </w:rPr>
        <w:t xml:space="preserve"> reo Māori</w:t>
      </w:r>
      <w:r>
        <w:rPr>
          <w:rFonts w:ascii="Century Gothic" w:hAnsi="Century Gothic"/>
          <w:sz w:val="21"/>
          <w:szCs w:val="21"/>
        </w:rPr>
        <w:t xml:space="preserve"> speakers across the entire Mā</w:t>
      </w:r>
      <w:r w:rsidRPr="00B05CF8">
        <w:rPr>
          <w:rFonts w:ascii="Century Gothic" w:hAnsi="Century Gothic"/>
          <w:sz w:val="21"/>
          <w:szCs w:val="21"/>
        </w:rPr>
        <w:t>ori population</w:t>
      </w:r>
      <w:r>
        <w:rPr>
          <w:rFonts w:ascii="Century Gothic" w:hAnsi="Century Gothic"/>
          <w:sz w:val="21"/>
          <w:szCs w:val="21"/>
        </w:rPr>
        <w:t xml:space="preserve"> generally, and for all of the iwi that are recognised in the Statistics New Zealand Iwi Classification</w:t>
      </w:r>
      <w:r w:rsidR="0033347B">
        <w:rPr>
          <w:rFonts w:ascii="Century Gothic" w:hAnsi="Century Gothic"/>
          <w:sz w:val="21"/>
          <w:szCs w:val="21"/>
        </w:rPr>
        <w:t xml:space="preserve">, including </w:t>
      </w:r>
      <w:proofErr w:type="spellStart"/>
      <w:r w:rsidR="0033347B">
        <w:rPr>
          <w:rFonts w:ascii="Century Gothic" w:hAnsi="Century Gothic"/>
          <w:sz w:val="21"/>
          <w:szCs w:val="21"/>
        </w:rPr>
        <w:t>Ngāi</w:t>
      </w:r>
      <w:proofErr w:type="spellEnd"/>
      <w:r w:rsidR="0033347B">
        <w:rPr>
          <w:rFonts w:ascii="Century Gothic" w:hAnsi="Century Gothic"/>
          <w:sz w:val="21"/>
          <w:szCs w:val="21"/>
        </w:rPr>
        <w:t xml:space="preserve"> </w:t>
      </w:r>
      <w:proofErr w:type="spellStart"/>
      <w:r w:rsidR="0033347B">
        <w:rPr>
          <w:rFonts w:ascii="Century Gothic" w:hAnsi="Century Gothic"/>
          <w:sz w:val="21"/>
          <w:szCs w:val="21"/>
        </w:rPr>
        <w:t>Tāmanuhiri</w:t>
      </w:r>
      <w:proofErr w:type="spellEnd"/>
      <w:r w:rsidR="0033347B">
        <w:rPr>
          <w:rFonts w:ascii="Century Gothic" w:hAnsi="Century Gothic"/>
          <w:sz w:val="21"/>
          <w:szCs w:val="21"/>
        </w:rPr>
        <w:t>.</w:t>
      </w:r>
      <w:r>
        <w:rPr>
          <w:rStyle w:val="FootnoteReference"/>
          <w:rFonts w:ascii="Century Gothic" w:hAnsi="Century Gothic"/>
          <w:sz w:val="21"/>
          <w:szCs w:val="21"/>
        </w:rPr>
        <w:footnoteReference w:id="3"/>
      </w:r>
      <w:r w:rsidR="0033347B">
        <w:rPr>
          <w:rFonts w:ascii="Century Gothic" w:hAnsi="Century Gothic"/>
          <w:sz w:val="21"/>
          <w:szCs w:val="21"/>
        </w:rPr>
        <w:t xml:space="preserve"> </w:t>
      </w:r>
      <w:r w:rsidRPr="00B05CF8">
        <w:rPr>
          <w:rFonts w:ascii="Century Gothic" w:hAnsi="Century Gothic"/>
          <w:sz w:val="21"/>
          <w:szCs w:val="21"/>
        </w:rPr>
        <w:t xml:space="preserve">The drawback is that </w:t>
      </w:r>
      <w:r>
        <w:rPr>
          <w:rFonts w:ascii="Century Gothic" w:hAnsi="Century Gothic"/>
          <w:sz w:val="21"/>
          <w:szCs w:val="21"/>
        </w:rPr>
        <w:t xml:space="preserve">the census </w:t>
      </w:r>
      <w:r w:rsidRPr="00B05CF8">
        <w:rPr>
          <w:rFonts w:ascii="Century Gothic" w:hAnsi="Century Gothic"/>
          <w:sz w:val="21"/>
          <w:szCs w:val="21"/>
        </w:rPr>
        <w:t xml:space="preserve">lacks a definition about what constitutes an everyday conversation in </w:t>
      </w:r>
      <w:proofErr w:type="spellStart"/>
      <w:proofErr w:type="gramStart"/>
      <w:r w:rsidR="000B60A9">
        <w:rPr>
          <w:rFonts w:ascii="Century Gothic" w:hAnsi="Century Gothic"/>
          <w:sz w:val="21"/>
          <w:szCs w:val="21"/>
        </w:rPr>
        <w:t>te</w:t>
      </w:r>
      <w:proofErr w:type="spellEnd"/>
      <w:proofErr w:type="gramEnd"/>
      <w:r w:rsidR="000B60A9">
        <w:rPr>
          <w:rFonts w:ascii="Century Gothic" w:hAnsi="Century Gothic"/>
          <w:sz w:val="21"/>
          <w:szCs w:val="21"/>
        </w:rPr>
        <w:t xml:space="preserve"> reo Māori</w:t>
      </w:r>
      <w:r w:rsidRPr="00B05CF8">
        <w:rPr>
          <w:rFonts w:ascii="Century Gothic" w:hAnsi="Century Gothic"/>
          <w:sz w:val="21"/>
          <w:szCs w:val="21"/>
        </w:rPr>
        <w:t>.</w:t>
      </w:r>
      <w:r w:rsidR="005E49C0">
        <w:rPr>
          <w:rFonts w:ascii="Century Gothic" w:hAnsi="Century Gothic"/>
          <w:sz w:val="21"/>
          <w:szCs w:val="21"/>
        </w:rPr>
        <w:t xml:space="preserve"> For some, that might entail complete fluency; for others it may </w:t>
      </w:r>
      <w:r w:rsidR="00B101DF">
        <w:rPr>
          <w:rFonts w:ascii="Century Gothic" w:hAnsi="Century Gothic"/>
          <w:sz w:val="21"/>
          <w:szCs w:val="21"/>
        </w:rPr>
        <w:t xml:space="preserve">only </w:t>
      </w:r>
      <w:r w:rsidR="005E49C0">
        <w:rPr>
          <w:rFonts w:ascii="Century Gothic" w:hAnsi="Century Gothic"/>
          <w:sz w:val="21"/>
          <w:szCs w:val="21"/>
        </w:rPr>
        <w:t xml:space="preserve">mean the </w:t>
      </w:r>
      <w:r w:rsidR="00B101DF">
        <w:rPr>
          <w:rFonts w:ascii="Century Gothic" w:hAnsi="Century Gothic"/>
          <w:sz w:val="21"/>
          <w:szCs w:val="21"/>
        </w:rPr>
        <w:t>use of Māori words on a daily basis.</w:t>
      </w:r>
    </w:p>
    <w:p w14:paraId="08292350" w14:textId="1F669A92" w:rsidR="00D232D9" w:rsidRDefault="00FE6316" w:rsidP="009B7602">
      <w:pPr>
        <w:spacing w:line="360" w:lineRule="auto"/>
        <w:rPr>
          <w:rFonts w:ascii="Century Gothic" w:hAnsi="Century Gothic" w:cs="Times New Roman"/>
          <w:color w:val="000000" w:themeColor="text1"/>
          <w:sz w:val="21"/>
          <w:szCs w:val="21"/>
        </w:rPr>
      </w:pPr>
      <w:r w:rsidRPr="00751A5B">
        <w:rPr>
          <w:rFonts w:ascii="Century Gothic" w:hAnsi="Century Gothic"/>
          <w:color w:val="000000" w:themeColor="text1"/>
          <w:sz w:val="21"/>
          <w:szCs w:val="21"/>
        </w:rPr>
        <w:t xml:space="preserve">The purpose of this report is to draw together the available census-based evidence to </w:t>
      </w:r>
      <w:r>
        <w:rPr>
          <w:rFonts w:ascii="Century Gothic" w:hAnsi="Century Gothic"/>
          <w:color w:val="000000" w:themeColor="text1"/>
          <w:sz w:val="21"/>
          <w:szCs w:val="21"/>
        </w:rPr>
        <w:t>provide a socio-demographic profile of</w:t>
      </w:r>
      <w:r w:rsidRPr="00751A5B">
        <w:rPr>
          <w:rFonts w:ascii="Century Gothic" w:hAnsi="Century Gothic"/>
          <w:color w:val="000000" w:themeColor="text1"/>
          <w:sz w:val="21"/>
          <w:szCs w:val="21"/>
        </w:rPr>
        <w:t xml:space="preserve"> </w:t>
      </w:r>
      <w:proofErr w:type="spellStart"/>
      <w:proofErr w:type="gramStart"/>
      <w:r w:rsidR="009B7602">
        <w:rPr>
          <w:rFonts w:ascii="Century Gothic" w:hAnsi="Century Gothic"/>
          <w:color w:val="000000" w:themeColor="text1"/>
          <w:sz w:val="21"/>
          <w:szCs w:val="21"/>
        </w:rPr>
        <w:t>t</w:t>
      </w:r>
      <w:r w:rsidR="000B60A9">
        <w:rPr>
          <w:rFonts w:ascii="Century Gothic" w:hAnsi="Century Gothic"/>
          <w:color w:val="000000" w:themeColor="text1"/>
          <w:sz w:val="21"/>
          <w:szCs w:val="21"/>
        </w:rPr>
        <w:t>e</w:t>
      </w:r>
      <w:proofErr w:type="spellEnd"/>
      <w:proofErr w:type="gramEnd"/>
      <w:r w:rsidR="000B60A9">
        <w:rPr>
          <w:rFonts w:ascii="Century Gothic" w:hAnsi="Century Gothic"/>
          <w:color w:val="000000" w:themeColor="text1"/>
          <w:sz w:val="21"/>
          <w:szCs w:val="21"/>
        </w:rPr>
        <w:t xml:space="preserve"> reo Māori</w:t>
      </w:r>
      <w:r w:rsidRPr="00751A5B">
        <w:rPr>
          <w:rFonts w:ascii="Century Gothic" w:hAnsi="Century Gothic"/>
          <w:color w:val="000000" w:themeColor="text1"/>
          <w:sz w:val="21"/>
          <w:szCs w:val="21"/>
        </w:rPr>
        <w:t xml:space="preserve"> speakers </w:t>
      </w:r>
      <w:r>
        <w:rPr>
          <w:rFonts w:ascii="Century Gothic" w:hAnsi="Century Gothic"/>
          <w:color w:val="000000" w:themeColor="text1"/>
          <w:sz w:val="21"/>
          <w:szCs w:val="21"/>
        </w:rPr>
        <w:t>within</w:t>
      </w:r>
      <w:r w:rsidRPr="00751A5B">
        <w:rPr>
          <w:rFonts w:ascii="Century Gothic" w:hAnsi="Century Gothic"/>
          <w:color w:val="000000" w:themeColor="text1"/>
          <w:sz w:val="21"/>
          <w:szCs w:val="21"/>
        </w:rPr>
        <w:t xml:space="preserve"> </w:t>
      </w:r>
      <w:proofErr w:type="spellStart"/>
      <w:r w:rsidR="0033347B">
        <w:rPr>
          <w:rFonts w:ascii="Century Gothic" w:hAnsi="Century Gothic"/>
          <w:sz w:val="21"/>
          <w:szCs w:val="21"/>
        </w:rPr>
        <w:t>Ngāi</w:t>
      </w:r>
      <w:proofErr w:type="spellEnd"/>
      <w:r w:rsidR="0033347B">
        <w:rPr>
          <w:rFonts w:ascii="Century Gothic" w:hAnsi="Century Gothic"/>
          <w:sz w:val="21"/>
          <w:szCs w:val="21"/>
        </w:rPr>
        <w:t xml:space="preserve"> </w:t>
      </w:r>
      <w:proofErr w:type="spellStart"/>
      <w:r w:rsidR="0033347B">
        <w:rPr>
          <w:rFonts w:ascii="Century Gothic" w:hAnsi="Century Gothic"/>
          <w:sz w:val="21"/>
          <w:szCs w:val="21"/>
        </w:rPr>
        <w:t>Tāmanuhiri</w:t>
      </w:r>
      <w:proofErr w:type="spellEnd"/>
      <w:r w:rsidRPr="00751A5B">
        <w:rPr>
          <w:rFonts w:ascii="Century Gothic" w:hAnsi="Century Gothic" w:cs="Times New Roman"/>
          <w:color w:val="000000" w:themeColor="text1"/>
          <w:sz w:val="21"/>
          <w:szCs w:val="21"/>
        </w:rPr>
        <w:t xml:space="preserve">. </w:t>
      </w:r>
      <w:r w:rsidR="0033347B">
        <w:rPr>
          <w:rFonts w:ascii="Century Gothic" w:hAnsi="Century Gothic" w:cs="Times New Roman"/>
          <w:color w:val="000000" w:themeColor="text1"/>
          <w:sz w:val="21"/>
          <w:szCs w:val="21"/>
        </w:rPr>
        <w:t xml:space="preserve">Our previous research </w:t>
      </w:r>
      <w:r w:rsidR="00D232D9">
        <w:rPr>
          <w:rFonts w:ascii="Century Gothic" w:hAnsi="Century Gothic" w:cs="Times New Roman"/>
          <w:color w:val="000000" w:themeColor="text1"/>
          <w:sz w:val="21"/>
          <w:szCs w:val="21"/>
        </w:rPr>
        <w:t>with</w:t>
      </w:r>
      <w:r w:rsidR="0033347B">
        <w:rPr>
          <w:rFonts w:ascii="Century Gothic" w:hAnsi="Century Gothic" w:cs="Times New Roman"/>
          <w:color w:val="000000" w:themeColor="text1"/>
          <w:sz w:val="21"/>
          <w:szCs w:val="21"/>
        </w:rPr>
        <w:t xml:space="preserve"> other iwi has shown significant differences in the size and composition of their registered population and the self-identified </w:t>
      </w:r>
      <w:r w:rsidR="00D232D9">
        <w:rPr>
          <w:rFonts w:ascii="Century Gothic" w:hAnsi="Century Gothic" w:cs="Times New Roman"/>
          <w:color w:val="000000" w:themeColor="text1"/>
          <w:sz w:val="21"/>
          <w:szCs w:val="21"/>
        </w:rPr>
        <w:t>census</w:t>
      </w:r>
      <w:r w:rsidR="0033347B">
        <w:rPr>
          <w:rFonts w:ascii="Century Gothic" w:hAnsi="Century Gothic" w:cs="Times New Roman"/>
          <w:color w:val="000000" w:themeColor="text1"/>
          <w:sz w:val="21"/>
          <w:szCs w:val="21"/>
        </w:rPr>
        <w:t xml:space="preserve"> population. The differences can be attributed to a range of factors including </w:t>
      </w:r>
      <w:r w:rsidR="006F6045">
        <w:rPr>
          <w:rFonts w:ascii="Century Gothic" w:hAnsi="Century Gothic" w:cs="Times New Roman"/>
          <w:color w:val="000000" w:themeColor="text1"/>
          <w:sz w:val="21"/>
          <w:szCs w:val="21"/>
        </w:rPr>
        <w:t>the very different proce</w:t>
      </w:r>
      <w:r w:rsidR="00D232D9">
        <w:rPr>
          <w:rFonts w:ascii="Century Gothic" w:hAnsi="Century Gothic" w:cs="Times New Roman"/>
          <w:color w:val="000000" w:themeColor="text1"/>
          <w:sz w:val="21"/>
          <w:szCs w:val="21"/>
        </w:rPr>
        <w:t>s</w:t>
      </w:r>
      <w:r w:rsidR="006F6045">
        <w:rPr>
          <w:rFonts w:ascii="Century Gothic" w:hAnsi="Century Gothic" w:cs="Times New Roman"/>
          <w:color w:val="000000" w:themeColor="text1"/>
          <w:sz w:val="21"/>
          <w:szCs w:val="21"/>
        </w:rPr>
        <w:t>ses of identification and verification involved; real or perceived benefits and incentives; and the effect of events such as settlements (</w:t>
      </w:r>
      <w:proofErr w:type="spellStart"/>
      <w:r w:rsidR="006F6045" w:rsidRPr="00751A5B">
        <w:rPr>
          <w:rFonts w:ascii="Century Gothic" w:hAnsi="Century Gothic"/>
          <w:color w:val="000000" w:themeColor="text1"/>
          <w:sz w:val="21"/>
          <w:szCs w:val="21"/>
        </w:rPr>
        <w:t>Kukutai</w:t>
      </w:r>
      <w:proofErr w:type="spellEnd"/>
      <w:r w:rsidR="006F6045" w:rsidRPr="00751A5B">
        <w:rPr>
          <w:rFonts w:ascii="Century Gothic" w:hAnsi="Century Gothic"/>
          <w:color w:val="000000" w:themeColor="text1"/>
          <w:sz w:val="21"/>
          <w:szCs w:val="21"/>
        </w:rPr>
        <w:t xml:space="preserve"> &amp; </w:t>
      </w:r>
      <w:proofErr w:type="spellStart"/>
      <w:r w:rsidR="006F6045" w:rsidRPr="00751A5B">
        <w:rPr>
          <w:rFonts w:ascii="Century Gothic" w:hAnsi="Century Gothic"/>
          <w:color w:val="000000" w:themeColor="text1"/>
          <w:sz w:val="21"/>
          <w:szCs w:val="21"/>
        </w:rPr>
        <w:t>Rarere</w:t>
      </w:r>
      <w:proofErr w:type="spellEnd"/>
      <w:r w:rsidR="006F6045" w:rsidRPr="00751A5B">
        <w:rPr>
          <w:rFonts w:ascii="Century Gothic" w:hAnsi="Century Gothic"/>
          <w:color w:val="000000" w:themeColor="text1"/>
          <w:sz w:val="21"/>
          <w:szCs w:val="21"/>
        </w:rPr>
        <w:t xml:space="preserve">, </w:t>
      </w:r>
      <w:r w:rsidR="006F6045">
        <w:rPr>
          <w:rFonts w:ascii="Century Gothic" w:hAnsi="Century Gothic"/>
          <w:color w:val="000000" w:themeColor="text1"/>
          <w:sz w:val="21"/>
          <w:szCs w:val="21"/>
        </w:rPr>
        <w:t>2013</w:t>
      </w:r>
      <w:r w:rsidR="006F6045" w:rsidRPr="00751A5B">
        <w:rPr>
          <w:rFonts w:ascii="Century Gothic" w:hAnsi="Century Gothic"/>
          <w:color w:val="000000" w:themeColor="text1"/>
          <w:sz w:val="21"/>
          <w:szCs w:val="21"/>
        </w:rPr>
        <w:t xml:space="preserve">; Walling, Small-Rodriguez &amp; </w:t>
      </w:r>
      <w:proofErr w:type="spellStart"/>
      <w:r w:rsidR="006F6045" w:rsidRPr="00751A5B">
        <w:rPr>
          <w:rFonts w:ascii="Century Gothic" w:hAnsi="Century Gothic"/>
          <w:color w:val="000000" w:themeColor="text1"/>
          <w:sz w:val="21"/>
          <w:szCs w:val="21"/>
        </w:rPr>
        <w:t>Kukutai</w:t>
      </w:r>
      <w:proofErr w:type="spellEnd"/>
      <w:r w:rsidR="006F6045" w:rsidRPr="00751A5B">
        <w:rPr>
          <w:rFonts w:ascii="Century Gothic" w:hAnsi="Century Gothic"/>
          <w:color w:val="000000" w:themeColor="text1"/>
          <w:sz w:val="21"/>
          <w:szCs w:val="21"/>
        </w:rPr>
        <w:t>, 2009</w:t>
      </w:r>
      <w:r w:rsidR="006F6045">
        <w:rPr>
          <w:rFonts w:ascii="Century Gothic" w:hAnsi="Century Gothic"/>
          <w:color w:val="000000" w:themeColor="text1"/>
          <w:sz w:val="21"/>
          <w:szCs w:val="21"/>
        </w:rPr>
        <w:t>)</w:t>
      </w:r>
      <w:r w:rsidR="006F6045">
        <w:rPr>
          <w:rFonts w:ascii="Century Gothic" w:hAnsi="Century Gothic" w:cs="Times New Roman"/>
          <w:color w:val="000000" w:themeColor="text1"/>
          <w:sz w:val="21"/>
          <w:szCs w:val="21"/>
        </w:rPr>
        <w:t xml:space="preserve">. </w:t>
      </w:r>
      <w:r w:rsidR="00D473C4">
        <w:rPr>
          <w:rFonts w:ascii="Century Gothic" w:hAnsi="Century Gothic" w:cs="Times New Roman"/>
          <w:color w:val="000000" w:themeColor="text1"/>
          <w:sz w:val="21"/>
          <w:szCs w:val="21"/>
        </w:rPr>
        <w:t>As such it is likely</w:t>
      </w:r>
      <w:r w:rsidR="006F6045">
        <w:rPr>
          <w:rFonts w:ascii="Century Gothic" w:hAnsi="Century Gothic" w:cs="Times New Roman"/>
          <w:color w:val="000000" w:themeColor="text1"/>
          <w:sz w:val="21"/>
          <w:szCs w:val="21"/>
        </w:rPr>
        <w:t xml:space="preserve"> that </w:t>
      </w:r>
      <w:r w:rsidR="00D473C4">
        <w:rPr>
          <w:rFonts w:ascii="Century Gothic" w:hAnsi="Century Gothic" w:cs="Times New Roman"/>
          <w:color w:val="000000" w:themeColor="text1"/>
          <w:sz w:val="21"/>
          <w:szCs w:val="21"/>
        </w:rPr>
        <w:t xml:space="preserve">the </w:t>
      </w:r>
      <w:proofErr w:type="spellStart"/>
      <w:r w:rsidR="0033347B">
        <w:rPr>
          <w:rFonts w:ascii="Century Gothic" w:hAnsi="Century Gothic" w:cs="Times New Roman"/>
          <w:color w:val="000000" w:themeColor="text1"/>
          <w:sz w:val="21"/>
          <w:szCs w:val="21"/>
        </w:rPr>
        <w:t>Ngāi</w:t>
      </w:r>
      <w:proofErr w:type="spellEnd"/>
      <w:r w:rsidR="0033347B">
        <w:rPr>
          <w:rFonts w:ascii="Century Gothic" w:hAnsi="Century Gothic" w:cs="Times New Roman"/>
          <w:color w:val="000000" w:themeColor="text1"/>
          <w:sz w:val="21"/>
          <w:szCs w:val="21"/>
        </w:rPr>
        <w:t xml:space="preserve"> </w:t>
      </w:r>
      <w:proofErr w:type="spellStart"/>
      <w:r w:rsidR="0033347B">
        <w:rPr>
          <w:rFonts w:ascii="Century Gothic" w:hAnsi="Century Gothic" w:cs="Times New Roman"/>
          <w:color w:val="000000" w:themeColor="text1"/>
          <w:sz w:val="21"/>
          <w:szCs w:val="21"/>
        </w:rPr>
        <w:t>Tāmanuhiri</w:t>
      </w:r>
      <w:proofErr w:type="spellEnd"/>
      <w:r w:rsidR="006F6045">
        <w:rPr>
          <w:rFonts w:ascii="Century Gothic" w:hAnsi="Century Gothic" w:cs="Times New Roman"/>
          <w:color w:val="000000" w:themeColor="text1"/>
          <w:sz w:val="21"/>
          <w:szCs w:val="21"/>
        </w:rPr>
        <w:t xml:space="preserve"> census</w:t>
      </w:r>
      <w:r w:rsidR="0033347B">
        <w:rPr>
          <w:rFonts w:ascii="Century Gothic" w:hAnsi="Century Gothic" w:cs="Times New Roman"/>
          <w:color w:val="000000" w:themeColor="text1"/>
          <w:sz w:val="21"/>
          <w:szCs w:val="21"/>
        </w:rPr>
        <w:t xml:space="preserve"> population </w:t>
      </w:r>
      <w:r w:rsidR="006F6045">
        <w:rPr>
          <w:rFonts w:ascii="Century Gothic" w:hAnsi="Century Gothic" w:cs="Times New Roman"/>
          <w:color w:val="000000" w:themeColor="text1"/>
          <w:sz w:val="21"/>
          <w:szCs w:val="21"/>
        </w:rPr>
        <w:t>may differ in some respects from the</w:t>
      </w:r>
      <w:r w:rsidR="0033347B">
        <w:rPr>
          <w:rFonts w:ascii="Century Gothic" w:hAnsi="Century Gothic" w:cs="Times New Roman"/>
          <w:color w:val="000000" w:themeColor="text1"/>
          <w:sz w:val="21"/>
          <w:szCs w:val="21"/>
        </w:rPr>
        <w:t xml:space="preserve"> enrolled </w:t>
      </w:r>
      <w:proofErr w:type="spellStart"/>
      <w:r w:rsidR="0033347B">
        <w:rPr>
          <w:rFonts w:ascii="Century Gothic" w:hAnsi="Century Gothic" w:cs="Times New Roman"/>
          <w:color w:val="000000" w:themeColor="text1"/>
          <w:sz w:val="21"/>
          <w:szCs w:val="21"/>
        </w:rPr>
        <w:t>Ng</w:t>
      </w:r>
      <w:r w:rsidR="006F6045">
        <w:rPr>
          <w:rFonts w:ascii="Century Gothic" w:hAnsi="Century Gothic" w:cs="Times New Roman"/>
          <w:color w:val="000000" w:themeColor="text1"/>
          <w:sz w:val="21"/>
          <w:szCs w:val="21"/>
        </w:rPr>
        <w:t>ā</w:t>
      </w:r>
      <w:r w:rsidR="0033347B">
        <w:rPr>
          <w:rFonts w:ascii="Century Gothic" w:hAnsi="Century Gothic" w:cs="Times New Roman"/>
          <w:color w:val="000000" w:themeColor="text1"/>
          <w:sz w:val="21"/>
          <w:szCs w:val="21"/>
        </w:rPr>
        <w:t>i</w:t>
      </w:r>
      <w:proofErr w:type="spellEnd"/>
      <w:r w:rsidR="0033347B">
        <w:rPr>
          <w:rFonts w:ascii="Century Gothic" w:hAnsi="Century Gothic" w:cs="Times New Roman"/>
          <w:color w:val="000000" w:themeColor="text1"/>
          <w:sz w:val="21"/>
          <w:szCs w:val="21"/>
        </w:rPr>
        <w:t xml:space="preserve"> </w:t>
      </w:r>
      <w:proofErr w:type="spellStart"/>
      <w:r w:rsidR="0033347B">
        <w:rPr>
          <w:rFonts w:ascii="Century Gothic" w:hAnsi="Century Gothic" w:cs="Times New Roman"/>
          <w:color w:val="000000" w:themeColor="text1"/>
          <w:sz w:val="21"/>
          <w:szCs w:val="21"/>
        </w:rPr>
        <w:t>Tāmanuhiri</w:t>
      </w:r>
      <w:proofErr w:type="spellEnd"/>
      <w:r w:rsidR="0033347B">
        <w:rPr>
          <w:rFonts w:ascii="Century Gothic" w:hAnsi="Century Gothic" w:cs="Times New Roman"/>
          <w:color w:val="000000" w:themeColor="text1"/>
          <w:sz w:val="21"/>
          <w:szCs w:val="21"/>
        </w:rPr>
        <w:t xml:space="preserve"> population</w:t>
      </w:r>
      <w:r w:rsidR="006F6045">
        <w:rPr>
          <w:rFonts w:ascii="Century Gothic" w:hAnsi="Century Gothic" w:cs="Times New Roman"/>
          <w:color w:val="000000" w:themeColor="text1"/>
          <w:sz w:val="21"/>
          <w:szCs w:val="21"/>
        </w:rPr>
        <w:t xml:space="preserve">, </w:t>
      </w:r>
      <w:r w:rsidR="00D473C4">
        <w:rPr>
          <w:rFonts w:ascii="Century Gothic" w:hAnsi="Century Gothic" w:cs="Times New Roman"/>
          <w:color w:val="000000" w:themeColor="text1"/>
          <w:sz w:val="21"/>
          <w:szCs w:val="21"/>
        </w:rPr>
        <w:t>and this needs to be borne in</w:t>
      </w:r>
      <w:r w:rsidR="006F6045">
        <w:rPr>
          <w:rFonts w:ascii="Century Gothic" w:hAnsi="Century Gothic" w:cs="Times New Roman"/>
          <w:color w:val="000000" w:themeColor="text1"/>
          <w:sz w:val="21"/>
          <w:szCs w:val="21"/>
        </w:rPr>
        <w:t xml:space="preserve"> mind.</w:t>
      </w:r>
    </w:p>
    <w:p w14:paraId="4DBB1190" w14:textId="77777777" w:rsidR="00D473C4" w:rsidRDefault="00D473C4" w:rsidP="00D473C4">
      <w:pPr>
        <w:spacing w:line="360" w:lineRule="auto"/>
        <w:rPr>
          <w:rFonts w:ascii="Century Gothic" w:hAnsi="Century Gothic" w:cs="Times New Roman"/>
          <w:color w:val="000000" w:themeColor="text1"/>
          <w:sz w:val="21"/>
          <w:szCs w:val="21"/>
        </w:rPr>
      </w:pPr>
    </w:p>
    <w:p w14:paraId="48D05E60" w14:textId="77777777" w:rsidR="0065189F" w:rsidRDefault="0065189F" w:rsidP="00D473C4">
      <w:pPr>
        <w:spacing w:line="360" w:lineRule="auto"/>
        <w:rPr>
          <w:rFonts w:ascii="Century Gothic" w:hAnsi="Century Gothic" w:cs="Times New Roman"/>
          <w:color w:val="000000" w:themeColor="text1"/>
          <w:sz w:val="21"/>
          <w:szCs w:val="21"/>
        </w:rPr>
      </w:pPr>
    </w:p>
    <w:p w14:paraId="7CC1542D" w14:textId="77777777" w:rsidR="0065189F" w:rsidRDefault="0065189F" w:rsidP="00D473C4">
      <w:pPr>
        <w:spacing w:line="360" w:lineRule="auto"/>
        <w:rPr>
          <w:rFonts w:ascii="Century Gothic" w:hAnsi="Century Gothic" w:cs="Times New Roman"/>
          <w:color w:val="000000" w:themeColor="text1"/>
          <w:sz w:val="21"/>
          <w:szCs w:val="21"/>
        </w:rPr>
      </w:pPr>
    </w:p>
    <w:p w14:paraId="1FC7313E" w14:textId="77777777" w:rsidR="0065189F" w:rsidRDefault="0065189F" w:rsidP="00D473C4">
      <w:pPr>
        <w:spacing w:line="360" w:lineRule="auto"/>
        <w:rPr>
          <w:rFonts w:ascii="Century Gothic" w:hAnsi="Century Gothic" w:cs="Times New Roman"/>
          <w:color w:val="000000" w:themeColor="text1"/>
          <w:sz w:val="21"/>
          <w:szCs w:val="21"/>
        </w:rPr>
      </w:pPr>
    </w:p>
    <w:p w14:paraId="37B8EAC5" w14:textId="77777777" w:rsidR="0065189F" w:rsidRDefault="0065189F" w:rsidP="00D473C4">
      <w:pPr>
        <w:spacing w:line="360" w:lineRule="auto"/>
        <w:rPr>
          <w:rFonts w:ascii="Century Gothic" w:hAnsi="Century Gothic" w:cs="Times New Roman"/>
          <w:color w:val="000000" w:themeColor="text1"/>
          <w:sz w:val="21"/>
          <w:szCs w:val="21"/>
        </w:rPr>
      </w:pPr>
    </w:p>
    <w:p w14:paraId="4C1359D6" w14:textId="77777777" w:rsidR="0065189F" w:rsidRDefault="0065189F" w:rsidP="00D473C4">
      <w:pPr>
        <w:spacing w:line="360" w:lineRule="auto"/>
        <w:rPr>
          <w:rFonts w:ascii="Century Gothic" w:hAnsi="Century Gothic" w:cs="Times New Roman"/>
          <w:color w:val="000000" w:themeColor="text1"/>
          <w:sz w:val="21"/>
          <w:szCs w:val="21"/>
        </w:rPr>
      </w:pPr>
    </w:p>
    <w:p w14:paraId="1D6A5184" w14:textId="77777777" w:rsidR="0065189F" w:rsidRPr="00D473C4" w:rsidRDefault="0065189F" w:rsidP="00D473C4">
      <w:pPr>
        <w:spacing w:line="360" w:lineRule="auto"/>
        <w:rPr>
          <w:rFonts w:ascii="Century Gothic" w:hAnsi="Century Gothic" w:cs="Times New Roman"/>
          <w:color w:val="000000" w:themeColor="text1"/>
          <w:sz w:val="21"/>
          <w:szCs w:val="21"/>
        </w:rPr>
      </w:pPr>
    </w:p>
    <w:p w14:paraId="20761898" w14:textId="1B321E2A" w:rsidR="00B65158" w:rsidRPr="00B65158" w:rsidRDefault="006900A0" w:rsidP="00B65158">
      <w:pPr>
        <w:pStyle w:val="Heading2"/>
        <w:pBdr>
          <w:bottom w:val="single" w:sz="4" w:space="1" w:color="42AAC2"/>
        </w:pBdr>
        <w:rPr>
          <w:rFonts w:ascii="Century Gothic" w:hAnsi="Century Gothic"/>
          <w:b/>
          <w:bCs/>
          <w:color w:val="1F4D78"/>
        </w:rPr>
      </w:pPr>
      <w:bookmarkStart w:id="6" w:name="_Toc491783039"/>
      <w:r>
        <w:rPr>
          <w:rFonts w:ascii="Century Gothic" w:hAnsi="Century Gothic"/>
          <w:b/>
          <w:bCs/>
          <w:color w:val="1F4D78"/>
        </w:rPr>
        <w:lastRenderedPageBreak/>
        <w:t>Report s</w:t>
      </w:r>
      <w:r w:rsidR="00B65158" w:rsidRPr="00B65158">
        <w:rPr>
          <w:rFonts w:ascii="Century Gothic" w:hAnsi="Century Gothic"/>
          <w:b/>
          <w:bCs/>
          <w:color w:val="1F4D78"/>
        </w:rPr>
        <w:t>cope and structure</w:t>
      </w:r>
      <w:bookmarkEnd w:id="6"/>
    </w:p>
    <w:p w14:paraId="4F29EC13" w14:textId="34E03950" w:rsidR="00B65158" w:rsidRPr="00A8121A" w:rsidRDefault="00B65158" w:rsidP="00A8121A">
      <w:pPr>
        <w:pStyle w:val="NoSpacing"/>
      </w:pPr>
    </w:p>
    <w:p w14:paraId="043CEA15" w14:textId="72FAD6F6" w:rsidR="00FE6316" w:rsidRPr="005D3453" w:rsidRDefault="00FE6316" w:rsidP="00D232D9">
      <w:pPr>
        <w:widowControl w:val="0"/>
        <w:autoSpaceDE w:val="0"/>
        <w:autoSpaceDN w:val="0"/>
        <w:adjustRightInd w:val="0"/>
        <w:spacing w:line="360" w:lineRule="auto"/>
        <w:rPr>
          <w:rFonts w:ascii="Century Gothic" w:hAnsi="Century Gothic" w:cs="Helvetica"/>
          <w:sz w:val="21"/>
          <w:szCs w:val="21"/>
        </w:rPr>
      </w:pPr>
      <w:r w:rsidRPr="005D3453">
        <w:rPr>
          <w:rFonts w:ascii="Century Gothic" w:hAnsi="Century Gothic" w:cs="Helvetica"/>
          <w:sz w:val="21"/>
          <w:szCs w:val="21"/>
        </w:rPr>
        <w:t>The scope of this report is limited to a descriptive analysis of demographic and soci</w:t>
      </w:r>
      <w:r w:rsidR="00C31C69">
        <w:rPr>
          <w:rFonts w:ascii="Century Gothic" w:hAnsi="Century Gothic" w:cs="Helvetica"/>
          <w:sz w:val="21"/>
          <w:szCs w:val="21"/>
        </w:rPr>
        <w:t>o-economic data for the usually resident</w:t>
      </w:r>
      <w:r w:rsidRPr="005D3453">
        <w:rPr>
          <w:rFonts w:ascii="Century Gothic" w:hAnsi="Century Gothic" w:cs="Helvetica"/>
          <w:sz w:val="21"/>
          <w:szCs w:val="21"/>
        </w:rPr>
        <w:t xml:space="preserve"> </w:t>
      </w:r>
      <w:r w:rsidR="00C31C69">
        <w:rPr>
          <w:rFonts w:ascii="Century Gothic" w:hAnsi="Century Gothic" w:cs="Helvetica"/>
          <w:sz w:val="21"/>
          <w:szCs w:val="21"/>
        </w:rPr>
        <w:t xml:space="preserve">population (URP) of </w:t>
      </w:r>
      <w:proofErr w:type="spellStart"/>
      <w:r w:rsidR="00D232D9">
        <w:rPr>
          <w:rFonts w:ascii="Century Gothic" w:hAnsi="Century Gothic" w:cs="Times New Roman"/>
          <w:color w:val="000000" w:themeColor="text1"/>
          <w:sz w:val="21"/>
          <w:szCs w:val="21"/>
        </w:rPr>
        <w:t>Ngāi</w:t>
      </w:r>
      <w:proofErr w:type="spellEnd"/>
      <w:r w:rsidR="00D232D9">
        <w:rPr>
          <w:rFonts w:ascii="Century Gothic" w:hAnsi="Century Gothic" w:cs="Times New Roman"/>
          <w:color w:val="000000" w:themeColor="text1"/>
          <w:sz w:val="21"/>
          <w:szCs w:val="21"/>
        </w:rPr>
        <w:t xml:space="preserve"> </w:t>
      </w:r>
      <w:proofErr w:type="spellStart"/>
      <w:r w:rsidR="00D232D9">
        <w:rPr>
          <w:rFonts w:ascii="Century Gothic" w:hAnsi="Century Gothic" w:cs="Times New Roman"/>
          <w:color w:val="000000" w:themeColor="text1"/>
          <w:sz w:val="21"/>
          <w:szCs w:val="21"/>
        </w:rPr>
        <w:t>Tāmanuhiri</w:t>
      </w:r>
      <w:proofErr w:type="spellEnd"/>
      <w:r w:rsidR="00D232D9">
        <w:rPr>
          <w:rFonts w:ascii="Century Gothic" w:hAnsi="Century Gothic" w:cs="Times New Roman"/>
          <w:color w:val="000000" w:themeColor="text1"/>
          <w:sz w:val="21"/>
          <w:szCs w:val="21"/>
        </w:rPr>
        <w:t xml:space="preserve"> </w:t>
      </w:r>
      <w:r w:rsidRPr="005D3453">
        <w:rPr>
          <w:rFonts w:ascii="Century Gothic" w:hAnsi="Century Gothic" w:cs="Helvetica"/>
          <w:sz w:val="21"/>
          <w:szCs w:val="21"/>
        </w:rPr>
        <w:t>as</w:t>
      </w:r>
      <w:r w:rsidR="00BB3208">
        <w:rPr>
          <w:rFonts w:ascii="Century Gothic" w:hAnsi="Century Gothic" w:cs="Helvetica"/>
          <w:sz w:val="21"/>
          <w:szCs w:val="21"/>
        </w:rPr>
        <w:t xml:space="preserve"> recorded at the 2013 c</w:t>
      </w:r>
      <w:r w:rsidRPr="005D3453">
        <w:rPr>
          <w:rFonts w:ascii="Century Gothic" w:hAnsi="Century Gothic" w:cs="Helvetica"/>
          <w:sz w:val="21"/>
          <w:szCs w:val="21"/>
        </w:rPr>
        <w:t>ensus, w</w:t>
      </w:r>
      <w:r w:rsidR="00D232D9">
        <w:rPr>
          <w:rFonts w:ascii="Century Gothic" w:hAnsi="Century Gothic" w:cs="Helvetica"/>
          <w:sz w:val="21"/>
          <w:szCs w:val="21"/>
        </w:rPr>
        <w:t xml:space="preserve">ith a specific focus on </w:t>
      </w:r>
      <w:proofErr w:type="spellStart"/>
      <w:proofErr w:type="gramStart"/>
      <w:r w:rsidR="00B101DF">
        <w:rPr>
          <w:rFonts w:ascii="Century Gothic" w:hAnsi="Century Gothic" w:cs="Helvetica"/>
          <w:sz w:val="21"/>
          <w:szCs w:val="21"/>
        </w:rPr>
        <w:t>te</w:t>
      </w:r>
      <w:proofErr w:type="spellEnd"/>
      <w:proofErr w:type="gramEnd"/>
      <w:r w:rsidR="00B101DF">
        <w:rPr>
          <w:rFonts w:ascii="Century Gothic" w:hAnsi="Century Gothic" w:cs="Helvetica"/>
          <w:sz w:val="21"/>
          <w:szCs w:val="21"/>
        </w:rPr>
        <w:t xml:space="preserve"> r</w:t>
      </w:r>
      <w:r w:rsidR="00047DBD">
        <w:rPr>
          <w:rFonts w:ascii="Century Gothic" w:hAnsi="Century Gothic" w:cs="Helvetica"/>
          <w:sz w:val="21"/>
          <w:szCs w:val="21"/>
        </w:rPr>
        <w:t>eo Māori</w:t>
      </w:r>
      <w:r w:rsidR="00C31C69">
        <w:rPr>
          <w:rFonts w:ascii="Century Gothic" w:hAnsi="Century Gothic" w:cs="Times New Roman"/>
          <w:sz w:val="21"/>
          <w:szCs w:val="21"/>
        </w:rPr>
        <w:t xml:space="preserve"> </w:t>
      </w:r>
      <w:r w:rsidRPr="005D3453">
        <w:rPr>
          <w:rFonts w:ascii="Century Gothic" w:hAnsi="Century Gothic" w:cs="Times New Roman"/>
          <w:sz w:val="21"/>
          <w:szCs w:val="21"/>
        </w:rPr>
        <w:t>speakers</w:t>
      </w:r>
      <w:r w:rsidR="00D232D9">
        <w:rPr>
          <w:rFonts w:ascii="Century Gothic" w:hAnsi="Century Gothic" w:cs="Times New Roman"/>
          <w:sz w:val="21"/>
          <w:szCs w:val="21"/>
        </w:rPr>
        <w:t xml:space="preserve">. </w:t>
      </w:r>
      <w:r w:rsidRPr="005D3453">
        <w:rPr>
          <w:rFonts w:ascii="Century Gothic" w:hAnsi="Century Gothic" w:cs="Helvetica"/>
          <w:sz w:val="21"/>
          <w:szCs w:val="21"/>
        </w:rPr>
        <w:t>Where possible we have also incorporated data from the 2001 and 2006 censuses. To enhance clarity and ease of reading, this report is divided into seven parts:</w:t>
      </w:r>
    </w:p>
    <w:p w14:paraId="2FECD15E" w14:textId="171E65DB" w:rsidR="00FE6316" w:rsidRPr="00B101DF" w:rsidRDefault="00FE6316" w:rsidP="00954E28">
      <w:pPr>
        <w:pStyle w:val="NoSpacing"/>
        <w:numPr>
          <w:ilvl w:val="0"/>
          <w:numId w:val="30"/>
        </w:numPr>
        <w:spacing w:line="360" w:lineRule="auto"/>
        <w:ind w:left="426" w:hanging="284"/>
        <w:rPr>
          <w:rFonts w:ascii="Century Gothic" w:hAnsi="Century Gothic"/>
          <w:sz w:val="21"/>
          <w:szCs w:val="21"/>
          <w:lang w:val="en-NZ"/>
        </w:rPr>
      </w:pPr>
      <w:r w:rsidRPr="00B101DF">
        <w:rPr>
          <w:rFonts w:ascii="Century Gothic" w:hAnsi="Century Gothic"/>
          <w:sz w:val="21"/>
          <w:szCs w:val="21"/>
          <w:lang w:val="en-NZ"/>
        </w:rPr>
        <w:t>Population trends</w:t>
      </w:r>
      <w:r w:rsidR="00B101DF">
        <w:rPr>
          <w:rFonts w:ascii="Century Gothic" w:hAnsi="Century Gothic"/>
          <w:sz w:val="21"/>
          <w:szCs w:val="21"/>
          <w:lang w:val="en-NZ"/>
        </w:rPr>
        <w:t xml:space="preserve"> and composition</w:t>
      </w:r>
    </w:p>
    <w:p w14:paraId="54F2BE49" w14:textId="77777777" w:rsidR="00FE6316" w:rsidRPr="00B101DF" w:rsidRDefault="00FE6316" w:rsidP="00954E28">
      <w:pPr>
        <w:pStyle w:val="NoSpacing"/>
        <w:numPr>
          <w:ilvl w:val="0"/>
          <w:numId w:val="30"/>
        </w:numPr>
        <w:spacing w:line="360" w:lineRule="auto"/>
        <w:ind w:left="426" w:hanging="284"/>
        <w:rPr>
          <w:rFonts w:ascii="Century Gothic" w:hAnsi="Century Gothic"/>
          <w:sz w:val="21"/>
          <w:szCs w:val="21"/>
          <w:lang w:val="en-NZ"/>
        </w:rPr>
      </w:pPr>
      <w:r w:rsidRPr="00B101DF">
        <w:rPr>
          <w:rFonts w:ascii="Century Gothic" w:hAnsi="Century Gothic"/>
          <w:sz w:val="21"/>
          <w:szCs w:val="21"/>
          <w:lang w:val="en-NZ"/>
        </w:rPr>
        <w:t>Usual residence five years ago</w:t>
      </w:r>
    </w:p>
    <w:p w14:paraId="7F7AE0C4" w14:textId="77777777" w:rsidR="00FE6316" w:rsidRPr="00B101DF" w:rsidRDefault="00FE6316" w:rsidP="00954E28">
      <w:pPr>
        <w:pStyle w:val="NoSpacing"/>
        <w:numPr>
          <w:ilvl w:val="0"/>
          <w:numId w:val="30"/>
        </w:numPr>
        <w:spacing w:line="360" w:lineRule="auto"/>
        <w:ind w:left="426" w:hanging="284"/>
        <w:rPr>
          <w:rFonts w:ascii="Century Gothic" w:hAnsi="Century Gothic"/>
          <w:sz w:val="21"/>
          <w:szCs w:val="21"/>
          <w:lang w:val="en-NZ"/>
        </w:rPr>
      </w:pPr>
      <w:r w:rsidRPr="00B101DF">
        <w:rPr>
          <w:rFonts w:ascii="Century Gothic" w:hAnsi="Century Gothic"/>
          <w:sz w:val="21"/>
          <w:szCs w:val="21"/>
          <w:lang w:val="en-NZ"/>
        </w:rPr>
        <w:t>Highest qualification</w:t>
      </w:r>
    </w:p>
    <w:p w14:paraId="280DAEC6" w14:textId="77777777" w:rsidR="00FE6316" w:rsidRPr="00B101DF" w:rsidRDefault="00FE6316" w:rsidP="00954E28">
      <w:pPr>
        <w:pStyle w:val="NoSpacing"/>
        <w:numPr>
          <w:ilvl w:val="0"/>
          <w:numId w:val="30"/>
        </w:numPr>
        <w:spacing w:line="360" w:lineRule="auto"/>
        <w:ind w:left="426" w:hanging="284"/>
        <w:rPr>
          <w:rFonts w:ascii="Century Gothic" w:hAnsi="Century Gothic"/>
          <w:sz w:val="21"/>
          <w:szCs w:val="21"/>
          <w:lang w:val="en-NZ"/>
        </w:rPr>
      </w:pPr>
      <w:r w:rsidRPr="00B101DF">
        <w:rPr>
          <w:rFonts w:ascii="Century Gothic" w:hAnsi="Century Gothic"/>
          <w:sz w:val="21"/>
          <w:szCs w:val="21"/>
          <w:lang w:val="en-NZ"/>
        </w:rPr>
        <w:t>Work and labour force status</w:t>
      </w:r>
    </w:p>
    <w:p w14:paraId="2FF6A73D" w14:textId="60FCBE4E" w:rsidR="00FE6316" w:rsidRPr="00B101DF" w:rsidRDefault="00FE6316" w:rsidP="00954E28">
      <w:pPr>
        <w:pStyle w:val="NoSpacing"/>
        <w:numPr>
          <w:ilvl w:val="0"/>
          <w:numId w:val="30"/>
        </w:numPr>
        <w:spacing w:line="360" w:lineRule="auto"/>
        <w:ind w:left="426" w:hanging="284"/>
        <w:rPr>
          <w:rFonts w:ascii="Century Gothic" w:hAnsi="Century Gothic"/>
          <w:sz w:val="21"/>
          <w:szCs w:val="21"/>
          <w:lang w:val="en-NZ"/>
        </w:rPr>
      </w:pPr>
      <w:r w:rsidRPr="00B101DF">
        <w:rPr>
          <w:rFonts w:ascii="Century Gothic" w:hAnsi="Century Gothic"/>
          <w:sz w:val="21"/>
          <w:szCs w:val="21"/>
          <w:lang w:val="en-NZ"/>
        </w:rPr>
        <w:t>Occupation</w:t>
      </w:r>
      <w:r w:rsidR="0033211E">
        <w:rPr>
          <w:rFonts w:ascii="Century Gothic" w:hAnsi="Century Gothic"/>
          <w:sz w:val="21"/>
          <w:szCs w:val="21"/>
          <w:lang w:val="en-NZ"/>
        </w:rPr>
        <w:t xml:space="preserve"> and income</w:t>
      </w:r>
    </w:p>
    <w:p w14:paraId="10CC1583" w14:textId="13163E3C" w:rsidR="00FE6316" w:rsidRDefault="00B101DF" w:rsidP="00954E28">
      <w:pPr>
        <w:pStyle w:val="NoSpacing"/>
        <w:numPr>
          <w:ilvl w:val="0"/>
          <w:numId w:val="30"/>
        </w:numPr>
        <w:spacing w:line="360" w:lineRule="auto"/>
        <w:ind w:left="426" w:hanging="284"/>
        <w:rPr>
          <w:rFonts w:ascii="Century Gothic" w:hAnsi="Century Gothic"/>
          <w:sz w:val="21"/>
          <w:szCs w:val="21"/>
          <w:lang w:val="en-NZ"/>
        </w:rPr>
      </w:pPr>
      <w:r>
        <w:rPr>
          <w:rFonts w:ascii="Century Gothic" w:hAnsi="Century Gothic"/>
          <w:sz w:val="21"/>
          <w:szCs w:val="21"/>
          <w:lang w:val="en-NZ"/>
        </w:rPr>
        <w:t>Households</w:t>
      </w:r>
    </w:p>
    <w:p w14:paraId="575E4A3A" w14:textId="77777777" w:rsidR="00B101DF" w:rsidRPr="00B101DF" w:rsidRDefault="00B101DF" w:rsidP="00B101DF">
      <w:pPr>
        <w:pStyle w:val="NoSpacing"/>
        <w:spacing w:line="360" w:lineRule="auto"/>
        <w:rPr>
          <w:rFonts w:ascii="Century Gothic" w:hAnsi="Century Gothic"/>
          <w:sz w:val="21"/>
          <w:szCs w:val="21"/>
          <w:lang w:val="en-NZ"/>
        </w:rPr>
      </w:pPr>
    </w:p>
    <w:p w14:paraId="0061F6E5" w14:textId="3342225A" w:rsidR="00FE6316" w:rsidRDefault="00FE6316" w:rsidP="00FE6316">
      <w:pPr>
        <w:widowControl w:val="0"/>
        <w:autoSpaceDE w:val="0"/>
        <w:autoSpaceDN w:val="0"/>
        <w:adjustRightInd w:val="0"/>
        <w:spacing w:line="360" w:lineRule="auto"/>
        <w:rPr>
          <w:rFonts w:ascii="Century Gothic" w:hAnsi="Century Gothic" w:cs="Helvetica"/>
          <w:sz w:val="21"/>
          <w:szCs w:val="21"/>
        </w:rPr>
      </w:pPr>
      <w:r w:rsidRPr="0058608C">
        <w:rPr>
          <w:rFonts w:ascii="Century Gothic" w:hAnsi="Century Gothic" w:cs="Helvetica"/>
          <w:sz w:val="21"/>
          <w:szCs w:val="21"/>
        </w:rPr>
        <w:t xml:space="preserve">Each section identifies and discusses key findings, illustrated by simple tables and graphs.  </w:t>
      </w:r>
      <w:r>
        <w:rPr>
          <w:rFonts w:ascii="Century Gothic" w:hAnsi="Century Gothic" w:cs="Helvetica"/>
          <w:sz w:val="21"/>
          <w:szCs w:val="21"/>
        </w:rPr>
        <w:t xml:space="preserve">Underlying data are included in the </w:t>
      </w:r>
      <w:r w:rsidRPr="0058608C">
        <w:rPr>
          <w:rFonts w:ascii="Century Gothic" w:hAnsi="Century Gothic" w:cs="Helvetica"/>
          <w:sz w:val="21"/>
          <w:szCs w:val="21"/>
        </w:rPr>
        <w:t xml:space="preserve">appendices. In addition to showing data about </w:t>
      </w:r>
      <w:proofErr w:type="spellStart"/>
      <w:r w:rsidR="00BB3208">
        <w:rPr>
          <w:rFonts w:ascii="Century Gothic" w:hAnsi="Century Gothic" w:cs="Helvetica"/>
          <w:sz w:val="21"/>
          <w:szCs w:val="21"/>
        </w:rPr>
        <w:t>Ngāi</w:t>
      </w:r>
      <w:proofErr w:type="spellEnd"/>
      <w:r w:rsidR="00BB3208">
        <w:rPr>
          <w:rFonts w:ascii="Century Gothic" w:hAnsi="Century Gothic" w:cs="Helvetica"/>
          <w:sz w:val="21"/>
          <w:szCs w:val="21"/>
        </w:rPr>
        <w:t xml:space="preserve"> </w:t>
      </w:r>
      <w:proofErr w:type="spellStart"/>
      <w:r w:rsidR="00BB3208">
        <w:rPr>
          <w:rFonts w:ascii="Century Gothic" w:hAnsi="Century Gothic" w:cs="Helvetica"/>
          <w:sz w:val="21"/>
          <w:szCs w:val="21"/>
        </w:rPr>
        <w:t>Tāmanuhiri</w:t>
      </w:r>
      <w:proofErr w:type="spellEnd"/>
      <w:r w:rsidRPr="0058608C">
        <w:rPr>
          <w:rFonts w:ascii="Century Gothic" w:hAnsi="Century Gothic" w:cs="Helvetica"/>
          <w:sz w:val="21"/>
          <w:szCs w:val="21"/>
        </w:rPr>
        <w:t xml:space="preserve">, we also present </w:t>
      </w:r>
      <w:r>
        <w:rPr>
          <w:rFonts w:ascii="Century Gothic" w:hAnsi="Century Gothic" w:cs="Helvetica"/>
          <w:sz w:val="21"/>
          <w:szCs w:val="21"/>
        </w:rPr>
        <w:t xml:space="preserve">comparative </w:t>
      </w:r>
      <w:r w:rsidRPr="0058608C">
        <w:rPr>
          <w:rFonts w:ascii="Century Gothic" w:hAnsi="Century Gothic" w:cs="Helvetica"/>
          <w:sz w:val="21"/>
          <w:szCs w:val="21"/>
        </w:rPr>
        <w:t xml:space="preserve">data for </w:t>
      </w:r>
      <w:r w:rsidR="00BB3208">
        <w:rPr>
          <w:rFonts w:ascii="Century Gothic" w:hAnsi="Century Gothic" w:cs="Helvetica"/>
          <w:sz w:val="21"/>
          <w:szCs w:val="21"/>
        </w:rPr>
        <w:t>the total Mā</w:t>
      </w:r>
      <w:r>
        <w:rPr>
          <w:rFonts w:ascii="Century Gothic" w:hAnsi="Century Gothic" w:cs="Helvetica"/>
          <w:sz w:val="21"/>
          <w:szCs w:val="21"/>
        </w:rPr>
        <w:t>ori descent population</w:t>
      </w:r>
      <w:r w:rsidR="00B101DF">
        <w:rPr>
          <w:rStyle w:val="FootnoteReference"/>
          <w:rFonts w:ascii="Century Gothic" w:hAnsi="Century Gothic" w:cs="Helvetica"/>
          <w:sz w:val="21"/>
          <w:szCs w:val="21"/>
        </w:rPr>
        <w:footnoteReference w:id="4"/>
      </w:r>
      <w:r w:rsidRPr="0058608C">
        <w:rPr>
          <w:rFonts w:ascii="Century Gothic" w:hAnsi="Century Gothic" w:cs="Helvetica"/>
          <w:sz w:val="21"/>
          <w:szCs w:val="21"/>
        </w:rPr>
        <w:t>.</w:t>
      </w:r>
    </w:p>
    <w:p w14:paraId="2C89D8F3" w14:textId="77777777" w:rsidR="0065189F" w:rsidRPr="0058608C" w:rsidRDefault="0065189F" w:rsidP="00FE6316">
      <w:pPr>
        <w:widowControl w:val="0"/>
        <w:autoSpaceDE w:val="0"/>
        <w:autoSpaceDN w:val="0"/>
        <w:adjustRightInd w:val="0"/>
        <w:spacing w:line="360" w:lineRule="auto"/>
        <w:rPr>
          <w:rFonts w:ascii="Century Gothic" w:hAnsi="Century Gothic" w:cs="Helvetica"/>
          <w:sz w:val="21"/>
          <w:szCs w:val="21"/>
        </w:rPr>
      </w:pPr>
    </w:p>
    <w:p w14:paraId="2985E981" w14:textId="77777777" w:rsidR="0058608C" w:rsidRPr="00B65158" w:rsidRDefault="0058608C" w:rsidP="0058608C">
      <w:pPr>
        <w:pStyle w:val="Heading2"/>
        <w:pBdr>
          <w:bottom w:val="single" w:sz="4" w:space="1" w:color="42AAC2"/>
        </w:pBdr>
        <w:rPr>
          <w:rFonts w:ascii="Century Gothic" w:hAnsi="Century Gothic"/>
          <w:b/>
          <w:bCs/>
          <w:color w:val="1F4D78"/>
        </w:rPr>
      </w:pPr>
      <w:bookmarkStart w:id="7" w:name="_Toc491783040"/>
      <w:r w:rsidRPr="00B65158">
        <w:rPr>
          <w:rFonts w:ascii="Century Gothic" w:hAnsi="Century Gothic"/>
          <w:b/>
          <w:bCs/>
          <w:color w:val="1F4D78"/>
        </w:rPr>
        <w:t>Data sources</w:t>
      </w:r>
      <w:bookmarkEnd w:id="7"/>
    </w:p>
    <w:p w14:paraId="1D265919" w14:textId="54057BA1" w:rsidR="002B2A85" w:rsidRDefault="002B2A85" w:rsidP="00744830">
      <w:pPr>
        <w:pStyle w:val="NoSpacing"/>
      </w:pPr>
    </w:p>
    <w:p w14:paraId="3DFBD60E" w14:textId="7B597747" w:rsidR="0054116B" w:rsidRDefault="00FE6316" w:rsidP="002D3AED">
      <w:pPr>
        <w:widowControl w:val="0"/>
        <w:autoSpaceDE w:val="0"/>
        <w:autoSpaceDN w:val="0"/>
        <w:adjustRightInd w:val="0"/>
        <w:spacing w:line="360" w:lineRule="auto"/>
        <w:rPr>
          <w:rFonts w:ascii="Century Gothic" w:hAnsi="Century Gothic" w:cs="Helvetica"/>
          <w:sz w:val="21"/>
          <w:szCs w:val="21"/>
        </w:rPr>
      </w:pPr>
      <w:r w:rsidRPr="005D3453">
        <w:rPr>
          <w:rFonts w:ascii="Century Gothic" w:hAnsi="Century Gothic" w:cs="Helvetica"/>
          <w:sz w:val="21"/>
          <w:szCs w:val="21"/>
        </w:rPr>
        <w:t xml:space="preserve">All data used in this report have been sourced from Statistics New Zealand. Most have come from purchased, customised databases specially prepared for NIDEA by Statistics New Zealand. </w:t>
      </w:r>
      <w:r w:rsidRPr="00BB3208">
        <w:rPr>
          <w:rFonts w:ascii="Century Gothic" w:hAnsi="Century Gothic" w:cs="Helvetica"/>
          <w:sz w:val="21"/>
          <w:szCs w:val="21"/>
        </w:rPr>
        <w:t>Because the data come from different collections and small cell sizes have been rounded by Statistics New Zealand to protect individuals</w:t>
      </w:r>
      <w:r w:rsidR="00E50D01">
        <w:rPr>
          <w:rFonts w:ascii="Century Gothic" w:hAnsi="Century Gothic" w:cs="Helvetica"/>
          <w:sz w:val="21"/>
          <w:szCs w:val="21"/>
        </w:rPr>
        <w:t>,</w:t>
      </w:r>
      <w:r w:rsidRPr="00BB3208">
        <w:rPr>
          <w:rFonts w:ascii="Century Gothic" w:hAnsi="Century Gothic" w:cs="Helvetica"/>
          <w:sz w:val="21"/>
          <w:szCs w:val="21"/>
        </w:rPr>
        <w:t xml:space="preserve"> tables may show different totals </w:t>
      </w:r>
      <w:r w:rsidRPr="00BB3208">
        <w:rPr>
          <w:rFonts w:ascii="Century Gothic" w:hAnsi="Century Gothic" w:cs="Helvetica"/>
          <w:sz w:val="21"/>
          <w:szCs w:val="21"/>
        </w:rPr>
        <w:fldChar w:fldCharType="begin"/>
      </w:r>
      <w:r w:rsidRPr="00BB3208">
        <w:rPr>
          <w:rFonts w:ascii="Century Gothic" w:hAnsi="Century Gothic" w:cs="Helvetica"/>
          <w:sz w:val="21"/>
          <w:szCs w:val="21"/>
        </w:rPr>
        <w:instrText xml:space="preserve"> ADDIN EN.CITE &lt;EndNote&gt;&lt;Cite&gt;&lt;Author&gt;Statistics New Zealand&lt;/Author&gt;&lt;Year&gt;2014&lt;/Year&gt;&lt;RecNum&gt;1&lt;/RecNum&gt;&lt;DisplayText&gt;(Statistics New Zealand, 2014)&lt;/DisplayText&gt;&lt;record&gt;&lt;rec-number&gt;1&lt;/rec-number&gt;&lt;foreign-keys&gt;&lt;key app="EN" db-id="t9psz2xxffwpwxepeew5vd5eta2vxrddtpsp"&gt;1&lt;/key&gt;&lt;/foreign-keys&gt;&lt;ref-type name="Web Page"&gt;12&lt;/ref-type&gt;&lt;contributors&gt;&lt;authors&gt;&lt;author&gt;Statistics New Zealand,&lt;/author&gt;&lt;/authors&gt;&lt;/contributors&gt;&lt;titles&gt;&lt;title&gt;2013 Census confidentiality rules and how they are applied&lt;/title&gt;&lt;/titles&gt;&lt;volume&gt;2014&lt;/volume&gt;&lt;number&gt;13 May&lt;/number&gt;&lt;dates&gt;&lt;year&gt;2014&lt;/year&gt;&lt;/dates&gt;&lt;publisher&gt;Statistics New Zealand&lt;/publisher&gt;&lt;urls&gt;&lt;related-urls&gt;&lt;url&gt;http://www.stats.govt.nz/Census/2013-census/methodology/confidentiality-how-applied.aspx&lt;/url&gt;&lt;/related-urls&gt;&lt;/urls&gt;&lt;/record&gt;&lt;/Cite&gt;&lt;/EndNote&gt;</w:instrText>
      </w:r>
      <w:r w:rsidRPr="00BB3208">
        <w:rPr>
          <w:rFonts w:ascii="Century Gothic" w:hAnsi="Century Gothic" w:cs="Helvetica"/>
          <w:sz w:val="21"/>
          <w:szCs w:val="21"/>
        </w:rPr>
        <w:fldChar w:fldCharType="separate"/>
      </w:r>
      <w:r w:rsidRPr="00BB3208">
        <w:rPr>
          <w:rFonts w:ascii="Century Gothic" w:hAnsi="Century Gothic" w:cs="Helvetica"/>
          <w:sz w:val="21"/>
          <w:szCs w:val="21"/>
        </w:rPr>
        <w:t>(</w:t>
      </w:r>
      <w:hyperlink w:anchor="_ENREF_1" w:tooltip="Statistics New Zealand, 2014 #1" w:history="1">
        <w:r w:rsidRPr="00BB3208">
          <w:rPr>
            <w:rFonts w:ascii="Century Gothic" w:hAnsi="Century Gothic" w:cs="Helvetica"/>
            <w:sz w:val="21"/>
            <w:szCs w:val="21"/>
          </w:rPr>
          <w:t>Statistics New Zealand, 2014</w:t>
        </w:r>
      </w:hyperlink>
      <w:r w:rsidRPr="00BB3208">
        <w:rPr>
          <w:rFonts w:ascii="Century Gothic" w:hAnsi="Century Gothic" w:cs="Helvetica"/>
          <w:sz w:val="21"/>
          <w:szCs w:val="21"/>
        </w:rPr>
        <w:t>)</w:t>
      </w:r>
      <w:r w:rsidRPr="00BB3208">
        <w:rPr>
          <w:rFonts w:ascii="Century Gothic" w:hAnsi="Century Gothic" w:cs="Helvetica"/>
          <w:sz w:val="21"/>
          <w:szCs w:val="21"/>
        </w:rPr>
        <w:fldChar w:fldCharType="end"/>
      </w:r>
      <w:r w:rsidRPr="00BB3208">
        <w:rPr>
          <w:rFonts w:ascii="Century Gothic" w:hAnsi="Century Gothic" w:cs="Helvetica"/>
          <w:sz w:val="21"/>
          <w:szCs w:val="21"/>
        </w:rPr>
        <w:t xml:space="preserve">. </w:t>
      </w:r>
      <w:r w:rsidR="0054116B">
        <w:rPr>
          <w:rFonts w:ascii="Century Gothic" w:hAnsi="Century Gothic" w:cs="Helvetica"/>
          <w:sz w:val="21"/>
          <w:szCs w:val="21"/>
        </w:rPr>
        <w:t xml:space="preserve">Rounding is </w:t>
      </w:r>
      <w:r w:rsidR="002D3AED">
        <w:rPr>
          <w:rFonts w:ascii="Century Gothic" w:hAnsi="Century Gothic" w:cs="Helvetica"/>
          <w:sz w:val="21"/>
          <w:szCs w:val="21"/>
        </w:rPr>
        <w:t xml:space="preserve">performed </w:t>
      </w:r>
      <w:r w:rsidR="0054116B">
        <w:rPr>
          <w:rFonts w:ascii="Century Gothic" w:hAnsi="Century Gothic" w:cs="Helvetica"/>
          <w:sz w:val="21"/>
          <w:szCs w:val="21"/>
        </w:rPr>
        <w:t>in multiple</w:t>
      </w:r>
      <w:r w:rsidR="002D3AED">
        <w:rPr>
          <w:rFonts w:ascii="Century Gothic" w:hAnsi="Century Gothic" w:cs="Helvetica"/>
          <w:sz w:val="21"/>
          <w:szCs w:val="21"/>
        </w:rPr>
        <w:t>s</w:t>
      </w:r>
      <w:r w:rsidR="0054116B">
        <w:rPr>
          <w:rFonts w:ascii="Century Gothic" w:hAnsi="Century Gothic" w:cs="Helvetica"/>
          <w:sz w:val="21"/>
          <w:szCs w:val="21"/>
        </w:rPr>
        <w:t xml:space="preserve"> of three</w:t>
      </w:r>
      <w:r w:rsidR="00FE1D7A">
        <w:rPr>
          <w:rFonts w:ascii="Century Gothic" w:hAnsi="Century Gothic" w:cs="Helvetica"/>
          <w:sz w:val="21"/>
          <w:szCs w:val="21"/>
        </w:rPr>
        <w:t>,</w:t>
      </w:r>
      <w:r w:rsidR="0054116B">
        <w:rPr>
          <w:rFonts w:ascii="Century Gothic" w:hAnsi="Century Gothic" w:cs="Helvetica"/>
          <w:sz w:val="21"/>
          <w:szCs w:val="21"/>
        </w:rPr>
        <w:t xml:space="preserve"> so a group </w:t>
      </w:r>
      <w:r w:rsidR="002D3AED">
        <w:rPr>
          <w:rFonts w:ascii="Century Gothic" w:hAnsi="Century Gothic" w:cs="Helvetica"/>
          <w:sz w:val="21"/>
          <w:szCs w:val="21"/>
        </w:rPr>
        <w:t xml:space="preserve">that </w:t>
      </w:r>
      <w:r w:rsidR="0054116B">
        <w:rPr>
          <w:rFonts w:ascii="Century Gothic" w:hAnsi="Century Gothic" w:cs="Helvetica"/>
          <w:sz w:val="21"/>
          <w:szCs w:val="21"/>
        </w:rPr>
        <w:t>may comprise 24 individuals</w:t>
      </w:r>
      <w:r w:rsidR="002D3AED">
        <w:rPr>
          <w:rFonts w:ascii="Century Gothic" w:hAnsi="Century Gothic" w:cs="Helvetica"/>
          <w:sz w:val="21"/>
          <w:szCs w:val="21"/>
        </w:rPr>
        <w:t xml:space="preserve"> in one table</w:t>
      </w:r>
      <w:r w:rsidR="0054116B">
        <w:rPr>
          <w:rFonts w:ascii="Century Gothic" w:hAnsi="Century Gothic" w:cs="Helvetica"/>
          <w:sz w:val="21"/>
          <w:szCs w:val="21"/>
        </w:rPr>
        <w:t xml:space="preserve"> may show up as 21 or 27 individuals in another table.</w:t>
      </w:r>
    </w:p>
    <w:p w14:paraId="0560AFE9" w14:textId="244E1442" w:rsidR="00954E28" w:rsidRDefault="00FE6316" w:rsidP="00A61C3A">
      <w:pPr>
        <w:widowControl w:val="0"/>
        <w:autoSpaceDE w:val="0"/>
        <w:autoSpaceDN w:val="0"/>
        <w:adjustRightInd w:val="0"/>
        <w:spacing w:line="360" w:lineRule="auto"/>
        <w:rPr>
          <w:rFonts w:ascii="Century Gothic" w:hAnsi="Century Gothic" w:cs="Helvetica"/>
          <w:sz w:val="21"/>
          <w:szCs w:val="21"/>
        </w:rPr>
      </w:pPr>
      <w:r w:rsidRPr="00BB3208">
        <w:rPr>
          <w:rFonts w:ascii="Century Gothic" w:hAnsi="Century Gothic" w:cs="Helvetica"/>
          <w:sz w:val="21"/>
          <w:szCs w:val="21"/>
        </w:rPr>
        <w:t xml:space="preserve">Where rates are computed, the denominator excludes those who did not give a response (not stated). </w:t>
      </w:r>
      <w:r w:rsidR="00BB3208">
        <w:rPr>
          <w:rFonts w:ascii="Century Gothic" w:hAnsi="Century Gothic" w:cs="Helvetica"/>
          <w:sz w:val="21"/>
          <w:szCs w:val="21"/>
        </w:rPr>
        <w:t xml:space="preserve">For some indicators the small numbers involved </w:t>
      </w:r>
      <w:r w:rsidRPr="00BB3208">
        <w:rPr>
          <w:rFonts w:ascii="Century Gothic" w:hAnsi="Century Gothic" w:cs="Helvetica"/>
          <w:sz w:val="21"/>
          <w:szCs w:val="21"/>
        </w:rPr>
        <w:t xml:space="preserve">requires us to use broad aggregations in cross-tabulations. To illustrate, when showing the spatial distribution of </w:t>
      </w:r>
      <w:proofErr w:type="spellStart"/>
      <w:proofErr w:type="gramStart"/>
      <w:r w:rsidR="00A61C3A">
        <w:rPr>
          <w:rFonts w:ascii="Century Gothic" w:hAnsi="Century Gothic" w:cs="Helvetica"/>
          <w:sz w:val="21"/>
          <w:szCs w:val="21"/>
        </w:rPr>
        <w:t>t</w:t>
      </w:r>
      <w:r w:rsidR="000B60A9">
        <w:rPr>
          <w:rFonts w:ascii="Century Gothic" w:hAnsi="Century Gothic" w:cs="Helvetica"/>
          <w:sz w:val="21"/>
          <w:szCs w:val="21"/>
        </w:rPr>
        <w:t>e</w:t>
      </w:r>
      <w:proofErr w:type="spellEnd"/>
      <w:proofErr w:type="gramEnd"/>
      <w:r w:rsidR="000B60A9">
        <w:rPr>
          <w:rFonts w:ascii="Century Gothic" w:hAnsi="Century Gothic" w:cs="Helvetica"/>
          <w:sz w:val="21"/>
          <w:szCs w:val="21"/>
        </w:rPr>
        <w:t xml:space="preserve"> reo Māori</w:t>
      </w:r>
      <w:r w:rsidRPr="00BB3208">
        <w:rPr>
          <w:rFonts w:ascii="Century Gothic" w:hAnsi="Century Gothic" w:cs="Helvetica"/>
          <w:sz w:val="21"/>
          <w:szCs w:val="21"/>
        </w:rPr>
        <w:t xml:space="preserve"> speakers we are constrained to comparisons of those inside/outside</w:t>
      </w:r>
      <w:r w:rsidR="00A61C3A">
        <w:rPr>
          <w:rFonts w:ascii="Century Gothic" w:hAnsi="Century Gothic" w:cs="Helvetica"/>
          <w:sz w:val="21"/>
          <w:szCs w:val="21"/>
        </w:rPr>
        <w:t xml:space="preserve"> the</w:t>
      </w:r>
      <w:r w:rsidRPr="00BB3208">
        <w:rPr>
          <w:rFonts w:ascii="Century Gothic" w:hAnsi="Century Gothic" w:cs="Helvetica"/>
          <w:sz w:val="21"/>
          <w:szCs w:val="21"/>
        </w:rPr>
        <w:t xml:space="preserve"> </w:t>
      </w:r>
      <w:proofErr w:type="spellStart"/>
      <w:r w:rsidRPr="00BB3208">
        <w:rPr>
          <w:rFonts w:ascii="Century Gothic" w:hAnsi="Century Gothic" w:cs="Helvetica"/>
          <w:sz w:val="21"/>
          <w:szCs w:val="21"/>
        </w:rPr>
        <w:t>Gisborne</w:t>
      </w:r>
      <w:proofErr w:type="spellEnd"/>
      <w:r w:rsidRPr="00BB3208">
        <w:rPr>
          <w:rFonts w:ascii="Century Gothic" w:hAnsi="Century Gothic" w:cs="Helvetica"/>
          <w:sz w:val="21"/>
          <w:szCs w:val="21"/>
        </w:rPr>
        <w:t xml:space="preserve"> region as the number</w:t>
      </w:r>
      <w:r w:rsidR="00BB3208">
        <w:rPr>
          <w:rFonts w:ascii="Century Gothic" w:hAnsi="Century Gothic" w:cs="Helvetica"/>
          <w:sz w:val="21"/>
          <w:szCs w:val="21"/>
        </w:rPr>
        <w:t xml:space="preserve">s in most of the other </w:t>
      </w:r>
      <w:r w:rsidRPr="00BB3208">
        <w:rPr>
          <w:rFonts w:ascii="Century Gothic" w:hAnsi="Century Gothic" w:cs="Helvetica"/>
          <w:sz w:val="21"/>
          <w:szCs w:val="21"/>
        </w:rPr>
        <w:t>regions are too small to show</w:t>
      </w:r>
      <w:r w:rsidR="00BB3208">
        <w:rPr>
          <w:rFonts w:ascii="Century Gothic" w:hAnsi="Century Gothic" w:cs="Helvetica"/>
          <w:sz w:val="21"/>
          <w:szCs w:val="21"/>
        </w:rPr>
        <w:t xml:space="preserve"> separately</w:t>
      </w:r>
      <w:r w:rsidRPr="00BB3208">
        <w:rPr>
          <w:rFonts w:ascii="Century Gothic" w:hAnsi="Century Gothic" w:cs="Helvetica"/>
          <w:sz w:val="21"/>
          <w:szCs w:val="21"/>
        </w:rPr>
        <w:t xml:space="preserve">. </w:t>
      </w:r>
    </w:p>
    <w:p w14:paraId="1C6E246F" w14:textId="2451990A" w:rsidR="00214811" w:rsidRPr="00954E28" w:rsidRDefault="00954E28" w:rsidP="00954E28">
      <w:pPr>
        <w:pStyle w:val="Heading1"/>
        <w:numPr>
          <w:ilvl w:val="0"/>
          <w:numId w:val="2"/>
        </w:numPr>
        <w:shd w:val="clear" w:color="auto" w:fill="3DA5BD"/>
        <w:spacing w:after="120"/>
        <w:ind w:left="360"/>
        <w:rPr>
          <w:rFonts w:ascii="Century Gothic" w:hAnsi="Century Gothic"/>
          <w:b/>
          <w:bCs/>
          <w:color w:val="FFFFFF" w:themeColor="background1"/>
        </w:rPr>
      </w:pPr>
      <w:bookmarkStart w:id="8" w:name="_Toc491783041"/>
      <w:r w:rsidRPr="00954E28">
        <w:rPr>
          <w:rFonts w:ascii="Century Gothic" w:hAnsi="Century Gothic"/>
          <w:b/>
          <w:bCs/>
          <w:color w:val="FFFFFF" w:themeColor="background1"/>
        </w:rPr>
        <w:lastRenderedPageBreak/>
        <w:t>P</w:t>
      </w:r>
      <w:r w:rsidR="00B65158" w:rsidRPr="00954E28">
        <w:rPr>
          <w:rFonts w:ascii="Century Gothic" w:hAnsi="Century Gothic"/>
          <w:b/>
          <w:bCs/>
          <w:color w:val="FFFFFF" w:themeColor="background1"/>
        </w:rPr>
        <w:t>opulation Trends</w:t>
      </w:r>
      <w:bookmarkEnd w:id="8"/>
    </w:p>
    <w:p w14:paraId="17294964" w14:textId="77777777" w:rsidR="00954E28" w:rsidRPr="00954E28" w:rsidRDefault="00954E28" w:rsidP="00954E28">
      <w:pPr>
        <w:pStyle w:val="NoSpacing"/>
      </w:pPr>
    </w:p>
    <w:p w14:paraId="487878C9" w14:textId="2F061390" w:rsidR="000D4993" w:rsidRDefault="000F0440" w:rsidP="00D473C4">
      <w:pPr>
        <w:pStyle w:val="NoSpacing"/>
        <w:spacing w:line="360" w:lineRule="auto"/>
      </w:pPr>
      <w:r w:rsidRPr="00D473C4">
        <w:rPr>
          <w:rFonts w:ascii="Century Gothic" w:hAnsi="Century Gothic"/>
          <w:color w:val="000000" w:themeColor="text1"/>
          <w:sz w:val="21"/>
          <w:szCs w:val="21"/>
        </w:rPr>
        <w:t xml:space="preserve">This section looks at basic demographic trends for </w:t>
      </w:r>
      <w:proofErr w:type="spellStart"/>
      <w:r w:rsidRPr="00D473C4">
        <w:rPr>
          <w:rFonts w:ascii="Century Gothic" w:hAnsi="Century Gothic"/>
          <w:color w:val="000000" w:themeColor="text1"/>
          <w:sz w:val="21"/>
          <w:szCs w:val="21"/>
        </w:rPr>
        <w:t>Ngāi</w:t>
      </w:r>
      <w:proofErr w:type="spellEnd"/>
      <w:r w:rsidRPr="00D473C4">
        <w:rPr>
          <w:rFonts w:ascii="Century Gothic" w:hAnsi="Century Gothic"/>
          <w:color w:val="000000" w:themeColor="text1"/>
          <w:sz w:val="21"/>
          <w:szCs w:val="21"/>
        </w:rPr>
        <w:t xml:space="preserve"> </w:t>
      </w:r>
      <w:proofErr w:type="spellStart"/>
      <w:r w:rsidRPr="00D473C4">
        <w:rPr>
          <w:rFonts w:ascii="Century Gothic" w:hAnsi="Century Gothic"/>
          <w:color w:val="000000" w:themeColor="text1"/>
          <w:sz w:val="21"/>
          <w:szCs w:val="21"/>
        </w:rPr>
        <w:t>Tāmanuhiri</w:t>
      </w:r>
      <w:proofErr w:type="spellEnd"/>
      <w:r w:rsidR="00D473C4" w:rsidRPr="00D473C4">
        <w:rPr>
          <w:rFonts w:ascii="Century Gothic" w:hAnsi="Century Gothic"/>
          <w:color w:val="000000" w:themeColor="text1"/>
          <w:sz w:val="21"/>
          <w:szCs w:val="21"/>
        </w:rPr>
        <w:t xml:space="preserve">, starting </w:t>
      </w:r>
      <w:r w:rsidR="00D473C4">
        <w:rPr>
          <w:rFonts w:ascii="Century Gothic" w:hAnsi="Century Gothic"/>
          <w:color w:val="000000" w:themeColor="text1"/>
          <w:sz w:val="21"/>
          <w:szCs w:val="21"/>
        </w:rPr>
        <w:t xml:space="preserve">with population growth and the key features of </w:t>
      </w:r>
      <w:r w:rsidR="00D473C4" w:rsidRPr="00D473C4">
        <w:rPr>
          <w:rFonts w:ascii="Century Gothic" w:hAnsi="Century Gothic"/>
          <w:color w:val="000000" w:themeColor="text1"/>
          <w:sz w:val="21"/>
          <w:szCs w:val="21"/>
        </w:rPr>
        <w:t>age, sex and regional location.</w:t>
      </w:r>
    </w:p>
    <w:p w14:paraId="50BE9547" w14:textId="77777777" w:rsidR="000D4993" w:rsidRDefault="000D4993" w:rsidP="00892EF0">
      <w:pPr>
        <w:pStyle w:val="NoSpacing"/>
      </w:pPr>
    </w:p>
    <w:p w14:paraId="32E10558" w14:textId="35B2C343" w:rsidR="00FE6316" w:rsidRPr="00B65158" w:rsidRDefault="003E52F6" w:rsidP="0065189F">
      <w:pPr>
        <w:pStyle w:val="Heading2"/>
        <w:numPr>
          <w:ilvl w:val="1"/>
          <w:numId w:val="2"/>
        </w:numPr>
        <w:pBdr>
          <w:bottom w:val="single" w:sz="4" w:space="1" w:color="42AAC2"/>
        </w:pBdr>
        <w:ind w:left="567" w:hanging="567"/>
        <w:rPr>
          <w:rFonts w:ascii="Century Gothic" w:hAnsi="Century Gothic"/>
          <w:b/>
          <w:bCs/>
          <w:color w:val="1F4D78"/>
        </w:rPr>
      </w:pPr>
      <w:bookmarkStart w:id="9" w:name="_Toc491783042"/>
      <w:bookmarkStart w:id="10" w:name="_Ref445114279"/>
      <w:r>
        <w:rPr>
          <w:rFonts w:ascii="Century Gothic" w:hAnsi="Century Gothic"/>
          <w:b/>
          <w:bCs/>
          <w:color w:val="1F4D78"/>
        </w:rPr>
        <w:t>Iwi p</w:t>
      </w:r>
      <w:r w:rsidR="00FE6316">
        <w:rPr>
          <w:rFonts w:ascii="Century Gothic" w:hAnsi="Century Gothic"/>
          <w:b/>
          <w:bCs/>
          <w:color w:val="1F4D78"/>
        </w:rPr>
        <w:t>opulation growth</w:t>
      </w:r>
      <w:bookmarkEnd w:id="9"/>
    </w:p>
    <w:p w14:paraId="3A71B1F7" w14:textId="0BD34D4E" w:rsidR="003E49C7" w:rsidRDefault="003E49C7" w:rsidP="006001B0">
      <w:pPr>
        <w:spacing w:after="0" w:line="276" w:lineRule="auto"/>
        <w:rPr>
          <w:rFonts w:ascii="Century Gothic" w:hAnsi="Century Gothic"/>
          <w:b/>
          <w:bCs/>
          <w:color w:val="44546A"/>
          <w:sz w:val="20"/>
          <w:szCs w:val="20"/>
          <w:lang w:val="en-US"/>
        </w:rPr>
      </w:pPr>
    </w:p>
    <w:p w14:paraId="483E65D2" w14:textId="4EC7FB10" w:rsidR="00FE6316" w:rsidRPr="00FE6316" w:rsidRDefault="000F0440" w:rsidP="00A61C3A">
      <w:pPr>
        <w:spacing w:line="360" w:lineRule="auto"/>
        <w:rPr>
          <w:rFonts w:ascii="Century Gothic" w:hAnsi="Century Gothic"/>
          <w:color w:val="000000" w:themeColor="text1"/>
          <w:sz w:val="21"/>
          <w:szCs w:val="21"/>
        </w:rPr>
      </w:pPr>
      <w:r>
        <w:rPr>
          <w:rFonts w:ascii="Century Gothic" w:hAnsi="Century Gothic"/>
          <w:color w:val="000000" w:themeColor="text1"/>
          <w:sz w:val="21"/>
          <w:szCs w:val="21"/>
        </w:rPr>
        <w:t xml:space="preserve">Previous research has shown that the growth of iwi populations in the census can </w:t>
      </w:r>
      <w:r w:rsidR="00412703">
        <w:rPr>
          <w:rFonts w:ascii="Century Gothic" w:hAnsi="Century Gothic"/>
          <w:color w:val="000000" w:themeColor="text1"/>
          <w:sz w:val="21"/>
          <w:szCs w:val="21"/>
        </w:rPr>
        <w:t>be</w:t>
      </w:r>
      <w:r>
        <w:rPr>
          <w:rFonts w:ascii="Century Gothic" w:hAnsi="Century Gothic"/>
          <w:color w:val="000000" w:themeColor="text1"/>
          <w:sz w:val="21"/>
          <w:szCs w:val="21"/>
        </w:rPr>
        <w:t xml:space="preserve"> volatile, and is affected by factors that are not strictly demographic (i.e., births, deaths, migration, see </w:t>
      </w:r>
      <w:proofErr w:type="spellStart"/>
      <w:r>
        <w:rPr>
          <w:rFonts w:ascii="Century Gothic" w:hAnsi="Century Gothic"/>
          <w:color w:val="000000" w:themeColor="text1"/>
          <w:sz w:val="21"/>
          <w:szCs w:val="21"/>
        </w:rPr>
        <w:t>Kukutai</w:t>
      </w:r>
      <w:proofErr w:type="spellEnd"/>
      <w:r>
        <w:rPr>
          <w:rFonts w:ascii="Century Gothic" w:hAnsi="Century Gothic"/>
          <w:color w:val="000000" w:themeColor="text1"/>
          <w:sz w:val="21"/>
          <w:szCs w:val="21"/>
        </w:rPr>
        <w:t xml:space="preserve"> &amp; </w:t>
      </w:r>
      <w:proofErr w:type="spellStart"/>
      <w:r>
        <w:rPr>
          <w:rFonts w:ascii="Century Gothic" w:hAnsi="Century Gothic"/>
          <w:color w:val="000000" w:themeColor="text1"/>
          <w:sz w:val="21"/>
          <w:szCs w:val="21"/>
        </w:rPr>
        <w:t>Rarere</w:t>
      </w:r>
      <w:proofErr w:type="spellEnd"/>
      <w:r>
        <w:rPr>
          <w:rFonts w:ascii="Century Gothic" w:hAnsi="Century Gothic"/>
          <w:color w:val="000000" w:themeColor="text1"/>
          <w:sz w:val="21"/>
          <w:szCs w:val="21"/>
        </w:rPr>
        <w:t xml:space="preserve">, 2013). Figure 1 shows that the number identifying as </w:t>
      </w:r>
      <w:proofErr w:type="spellStart"/>
      <w:r>
        <w:rPr>
          <w:rFonts w:ascii="Century Gothic" w:hAnsi="Century Gothic"/>
          <w:color w:val="000000" w:themeColor="text1"/>
          <w:sz w:val="21"/>
          <w:szCs w:val="21"/>
        </w:rPr>
        <w:t>Ngāi</w:t>
      </w:r>
      <w:proofErr w:type="spellEnd"/>
      <w:r>
        <w:rPr>
          <w:rFonts w:ascii="Century Gothic" w:hAnsi="Century Gothic"/>
          <w:color w:val="000000" w:themeColor="text1"/>
          <w:sz w:val="21"/>
          <w:szCs w:val="21"/>
        </w:rPr>
        <w:t xml:space="preserve"> </w:t>
      </w:r>
      <w:proofErr w:type="spellStart"/>
      <w:r>
        <w:rPr>
          <w:rFonts w:ascii="Century Gothic" w:hAnsi="Century Gothic"/>
          <w:color w:val="000000" w:themeColor="text1"/>
          <w:sz w:val="21"/>
          <w:szCs w:val="21"/>
        </w:rPr>
        <w:t>Tāmanuhir</w:t>
      </w:r>
      <w:r w:rsidR="00FE6316" w:rsidRPr="00FE6316">
        <w:rPr>
          <w:rFonts w:ascii="Century Gothic" w:hAnsi="Century Gothic"/>
          <w:color w:val="000000" w:themeColor="text1"/>
          <w:sz w:val="21"/>
          <w:szCs w:val="21"/>
        </w:rPr>
        <w:t>i</w:t>
      </w:r>
      <w:proofErr w:type="spellEnd"/>
      <w:r w:rsidR="00FE6316" w:rsidRPr="00FE6316">
        <w:rPr>
          <w:rFonts w:ascii="Century Gothic" w:hAnsi="Century Gothic"/>
          <w:color w:val="000000" w:themeColor="text1"/>
          <w:sz w:val="21"/>
          <w:szCs w:val="21"/>
        </w:rPr>
        <w:t xml:space="preserve"> </w:t>
      </w:r>
      <w:r>
        <w:rPr>
          <w:rFonts w:ascii="Century Gothic" w:hAnsi="Century Gothic"/>
          <w:color w:val="000000" w:themeColor="text1"/>
          <w:sz w:val="21"/>
          <w:szCs w:val="21"/>
        </w:rPr>
        <w:t xml:space="preserve">increased </w:t>
      </w:r>
      <w:r w:rsidR="004607F0">
        <w:rPr>
          <w:rFonts w:ascii="Century Gothic" w:hAnsi="Century Gothic"/>
          <w:color w:val="000000" w:themeColor="text1"/>
          <w:sz w:val="21"/>
          <w:szCs w:val="21"/>
        </w:rPr>
        <w:t xml:space="preserve">by more than </w:t>
      </w:r>
      <w:r>
        <w:rPr>
          <w:rFonts w:ascii="Century Gothic" w:hAnsi="Century Gothic"/>
          <w:color w:val="000000" w:themeColor="text1"/>
          <w:sz w:val="21"/>
          <w:szCs w:val="21"/>
        </w:rPr>
        <w:t xml:space="preserve">40 per cent </w:t>
      </w:r>
      <w:r w:rsidR="00FE6316" w:rsidRPr="00FE6316">
        <w:rPr>
          <w:rFonts w:ascii="Century Gothic" w:hAnsi="Century Gothic"/>
          <w:color w:val="000000" w:themeColor="text1"/>
          <w:sz w:val="21"/>
          <w:szCs w:val="21"/>
        </w:rPr>
        <w:t xml:space="preserve">between </w:t>
      </w:r>
      <w:r w:rsidR="00A61C3A">
        <w:rPr>
          <w:rFonts w:ascii="Century Gothic" w:hAnsi="Century Gothic"/>
          <w:color w:val="000000" w:themeColor="text1"/>
          <w:sz w:val="21"/>
          <w:szCs w:val="21"/>
        </w:rPr>
        <w:t xml:space="preserve">the </w:t>
      </w:r>
      <w:r w:rsidR="00FE6316" w:rsidRPr="00FE6316">
        <w:rPr>
          <w:rFonts w:ascii="Century Gothic" w:hAnsi="Century Gothic"/>
          <w:color w:val="000000" w:themeColor="text1"/>
          <w:sz w:val="21"/>
          <w:szCs w:val="21"/>
        </w:rPr>
        <w:t>2001 and 2006</w:t>
      </w:r>
      <w:r w:rsidR="00A61C3A">
        <w:rPr>
          <w:rFonts w:ascii="Century Gothic" w:hAnsi="Century Gothic"/>
          <w:color w:val="000000" w:themeColor="text1"/>
          <w:sz w:val="21"/>
          <w:szCs w:val="21"/>
        </w:rPr>
        <w:t xml:space="preserve"> censuses</w:t>
      </w:r>
      <w:r>
        <w:rPr>
          <w:rFonts w:ascii="Century Gothic" w:hAnsi="Century Gothic"/>
          <w:color w:val="000000" w:themeColor="text1"/>
          <w:sz w:val="21"/>
          <w:szCs w:val="21"/>
        </w:rPr>
        <w:t>,</w:t>
      </w:r>
      <w:r w:rsidR="008F68BE">
        <w:rPr>
          <w:rFonts w:ascii="Century Gothic" w:hAnsi="Century Gothic"/>
          <w:color w:val="000000" w:themeColor="text1"/>
          <w:sz w:val="21"/>
          <w:szCs w:val="21"/>
        </w:rPr>
        <w:t xml:space="preserve"> from 1,170 to 1,659</w:t>
      </w:r>
      <w:r>
        <w:rPr>
          <w:rFonts w:ascii="Century Gothic" w:hAnsi="Century Gothic"/>
          <w:color w:val="000000" w:themeColor="text1"/>
          <w:sz w:val="21"/>
          <w:szCs w:val="21"/>
        </w:rPr>
        <w:t xml:space="preserve">. </w:t>
      </w:r>
      <w:r w:rsidR="00B632DF">
        <w:rPr>
          <w:rFonts w:ascii="Century Gothic" w:hAnsi="Century Gothic"/>
          <w:color w:val="000000" w:themeColor="text1"/>
          <w:sz w:val="21"/>
          <w:szCs w:val="21"/>
        </w:rPr>
        <w:t xml:space="preserve">The growth between the 2006 and 2013 censuses </w:t>
      </w:r>
      <w:r w:rsidR="00432EF9">
        <w:rPr>
          <w:rFonts w:ascii="Century Gothic" w:hAnsi="Century Gothic"/>
          <w:color w:val="000000" w:themeColor="text1"/>
          <w:sz w:val="21"/>
          <w:szCs w:val="21"/>
        </w:rPr>
        <w:t xml:space="preserve">(from 1,659 to 1,719) </w:t>
      </w:r>
      <w:r w:rsidR="00B632DF">
        <w:rPr>
          <w:rFonts w:ascii="Century Gothic" w:hAnsi="Century Gothic"/>
          <w:color w:val="000000" w:themeColor="text1"/>
          <w:sz w:val="21"/>
          <w:szCs w:val="21"/>
        </w:rPr>
        <w:t>was far more modest at just 3.6 per cent</w:t>
      </w:r>
      <w:r w:rsidR="00432EF9">
        <w:rPr>
          <w:rFonts w:ascii="Century Gothic" w:hAnsi="Century Gothic"/>
          <w:color w:val="000000" w:themeColor="text1"/>
          <w:sz w:val="21"/>
          <w:szCs w:val="21"/>
        </w:rPr>
        <w:t>, despite the longer seven-</w:t>
      </w:r>
      <w:r w:rsidR="00FE6316" w:rsidRPr="00FE6316">
        <w:rPr>
          <w:rFonts w:ascii="Century Gothic" w:hAnsi="Century Gothic"/>
          <w:color w:val="000000" w:themeColor="text1"/>
          <w:sz w:val="21"/>
          <w:szCs w:val="21"/>
        </w:rPr>
        <w:t>year census period</w:t>
      </w:r>
      <w:r w:rsidR="00B632DF">
        <w:rPr>
          <w:rFonts w:ascii="Century Gothic" w:hAnsi="Century Gothic"/>
          <w:color w:val="000000" w:themeColor="text1"/>
          <w:sz w:val="21"/>
          <w:szCs w:val="21"/>
        </w:rPr>
        <w:t xml:space="preserve"> due to the delay caused by the Christchurch earthquakes</w:t>
      </w:r>
      <w:r w:rsidR="00FE6316" w:rsidRPr="00FE6316">
        <w:rPr>
          <w:rFonts w:ascii="Century Gothic" w:hAnsi="Century Gothic"/>
          <w:color w:val="000000" w:themeColor="text1"/>
          <w:sz w:val="21"/>
          <w:szCs w:val="21"/>
        </w:rPr>
        <w:t xml:space="preserve">. </w:t>
      </w:r>
    </w:p>
    <w:p w14:paraId="7072ABA6" w14:textId="25900967" w:rsidR="006D4D5C" w:rsidRPr="006D4D5C" w:rsidRDefault="00B632DF" w:rsidP="006D4D5C">
      <w:pPr>
        <w:pStyle w:val="CommentText"/>
        <w:spacing w:line="360" w:lineRule="auto"/>
        <w:rPr>
          <w:rFonts w:ascii="Century Gothic" w:hAnsi="Century Gothic"/>
          <w:sz w:val="21"/>
          <w:szCs w:val="21"/>
        </w:rPr>
      </w:pPr>
      <w:r w:rsidRPr="006D4D5C">
        <w:rPr>
          <w:rFonts w:ascii="Century Gothic" w:hAnsi="Century Gothic"/>
          <w:color w:val="000000" w:themeColor="text1"/>
          <w:sz w:val="21"/>
          <w:szCs w:val="21"/>
        </w:rPr>
        <w:t xml:space="preserve">The substantial growth of </w:t>
      </w:r>
      <w:proofErr w:type="spellStart"/>
      <w:r w:rsidRPr="006D4D5C">
        <w:rPr>
          <w:rFonts w:ascii="Century Gothic" w:hAnsi="Century Gothic"/>
          <w:color w:val="000000" w:themeColor="text1"/>
          <w:sz w:val="21"/>
          <w:szCs w:val="21"/>
        </w:rPr>
        <w:t>Ngāi</w:t>
      </w:r>
      <w:proofErr w:type="spellEnd"/>
      <w:r w:rsidRPr="006D4D5C">
        <w:rPr>
          <w:rFonts w:ascii="Century Gothic" w:hAnsi="Century Gothic"/>
          <w:color w:val="000000" w:themeColor="text1"/>
          <w:sz w:val="21"/>
          <w:szCs w:val="21"/>
        </w:rPr>
        <w:t xml:space="preserve"> </w:t>
      </w:r>
      <w:proofErr w:type="spellStart"/>
      <w:r w:rsidRPr="006D4D5C">
        <w:rPr>
          <w:rFonts w:ascii="Century Gothic" w:hAnsi="Century Gothic"/>
          <w:color w:val="000000" w:themeColor="text1"/>
          <w:sz w:val="21"/>
          <w:szCs w:val="21"/>
        </w:rPr>
        <w:t>Tāmanuhiri</w:t>
      </w:r>
      <w:proofErr w:type="spellEnd"/>
      <w:r w:rsidRPr="006D4D5C">
        <w:rPr>
          <w:rFonts w:ascii="Century Gothic" w:hAnsi="Century Gothic"/>
          <w:color w:val="000000" w:themeColor="text1"/>
          <w:sz w:val="21"/>
          <w:szCs w:val="21"/>
        </w:rPr>
        <w:t xml:space="preserve"> between 2001 and 2006 </w:t>
      </w:r>
      <w:r w:rsidR="00FE6316" w:rsidRPr="006D4D5C">
        <w:rPr>
          <w:rFonts w:ascii="Century Gothic" w:hAnsi="Century Gothic"/>
          <w:color w:val="000000" w:themeColor="text1"/>
          <w:sz w:val="21"/>
          <w:szCs w:val="21"/>
        </w:rPr>
        <w:t xml:space="preserve">cannot be explained by natural increase </w:t>
      </w:r>
      <w:r w:rsidR="00412703" w:rsidRPr="006D4D5C">
        <w:rPr>
          <w:rFonts w:ascii="Century Gothic" w:hAnsi="Century Gothic"/>
          <w:color w:val="000000" w:themeColor="text1"/>
          <w:sz w:val="21"/>
          <w:szCs w:val="21"/>
        </w:rPr>
        <w:t xml:space="preserve">alone </w:t>
      </w:r>
      <w:r w:rsidR="00FE6316" w:rsidRPr="006D4D5C">
        <w:rPr>
          <w:rFonts w:ascii="Century Gothic" w:hAnsi="Century Gothic"/>
          <w:color w:val="000000" w:themeColor="text1"/>
          <w:sz w:val="21"/>
          <w:szCs w:val="21"/>
        </w:rPr>
        <w:t>(the excess of births over deaths)</w:t>
      </w:r>
      <w:r w:rsidR="00877AF2" w:rsidRPr="006D4D5C">
        <w:rPr>
          <w:rFonts w:ascii="Century Gothic" w:hAnsi="Century Gothic"/>
          <w:color w:val="000000" w:themeColor="text1"/>
          <w:sz w:val="21"/>
          <w:szCs w:val="21"/>
        </w:rPr>
        <w:t xml:space="preserve">. Instead it points </w:t>
      </w:r>
      <w:r w:rsidR="00FE6316" w:rsidRPr="006D4D5C">
        <w:rPr>
          <w:rFonts w:ascii="Century Gothic" w:hAnsi="Century Gothic"/>
          <w:color w:val="000000" w:themeColor="text1"/>
          <w:sz w:val="21"/>
          <w:szCs w:val="21"/>
        </w:rPr>
        <w:t>to the impact of changing patterns of identific</w:t>
      </w:r>
      <w:r w:rsidRPr="006D4D5C">
        <w:rPr>
          <w:rFonts w:ascii="Century Gothic" w:hAnsi="Century Gothic"/>
          <w:color w:val="000000" w:themeColor="text1"/>
          <w:sz w:val="21"/>
          <w:szCs w:val="21"/>
        </w:rPr>
        <w:t>ation</w:t>
      </w:r>
      <w:r w:rsidR="00E50D01" w:rsidRPr="006D4D5C">
        <w:rPr>
          <w:rFonts w:ascii="Century Gothic" w:hAnsi="Century Gothic"/>
          <w:color w:val="000000" w:themeColor="text1"/>
          <w:sz w:val="21"/>
          <w:szCs w:val="21"/>
        </w:rPr>
        <w:t xml:space="preserve">; </w:t>
      </w:r>
      <w:r w:rsidR="00E0357E" w:rsidRPr="006D4D5C">
        <w:rPr>
          <w:rFonts w:ascii="Century Gothic" w:hAnsi="Century Gothic"/>
          <w:color w:val="000000" w:themeColor="text1"/>
          <w:sz w:val="21"/>
          <w:szCs w:val="21"/>
        </w:rPr>
        <w:t xml:space="preserve">several hundred </w:t>
      </w:r>
      <w:r w:rsidRPr="006D4D5C">
        <w:rPr>
          <w:rFonts w:ascii="Century Gothic" w:hAnsi="Century Gothic"/>
          <w:color w:val="000000" w:themeColor="text1"/>
          <w:sz w:val="21"/>
          <w:szCs w:val="21"/>
        </w:rPr>
        <w:t xml:space="preserve">individuals who did not identify as </w:t>
      </w:r>
      <w:proofErr w:type="spellStart"/>
      <w:r w:rsidRPr="006D4D5C">
        <w:rPr>
          <w:rFonts w:ascii="Century Gothic" w:hAnsi="Century Gothic"/>
          <w:color w:val="000000" w:themeColor="text1"/>
          <w:sz w:val="21"/>
          <w:szCs w:val="21"/>
        </w:rPr>
        <w:t>Ngāi</w:t>
      </w:r>
      <w:proofErr w:type="spellEnd"/>
      <w:r w:rsidRPr="006D4D5C">
        <w:rPr>
          <w:rFonts w:ascii="Century Gothic" w:hAnsi="Century Gothic"/>
          <w:color w:val="000000" w:themeColor="text1"/>
          <w:sz w:val="21"/>
          <w:szCs w:val="21"/>
        </w:rPr>
        <w:t xml:space="preserve"> </w:t>
      </w:r>
      <w:proofErr w:type="spellStart"/>
      <w:r w:rsidRPr="006D4D5C">
        <w:rPr>
          <w:rFonts w:ascii="Century Gothic" w:hAnsi="Century Gothic"/>
          <w:color w:val="000000" w:themeColor="text1"/>
          <w:sz w:val="21"/>
          <w:szCs w:val="21"/>
        </w:rPr>
        <w:t>Tāmanuhiri</w:t>
      </w:r>
      <w:proofErr w:type="spellEnd"/>
      <w:r w:rsidRPr="006D4D5C">
        <w:rPr>
          <w:rFonts w:ascii="Century Gothic" w:hAnsi="Century Gothic"/>
          <w:color w:val="000000" w:themeColor="text1"/>
          <w:sz w:val="21"/>
          <w:szCs w:val="21"/>
        </w:rPr>
        <w:t xml:space="preserve"> in 2001 subsequently did so in 2006. </w:t>
      </w:r>
      <w:r w:rsidR="006D4D5C" w:rsidRPr="006D4D5C">
        <w:rPr>
          <w:rFonts w:ascii="Century Gothic" w:hAnsi="Century Gothic"/>
          <w:color w:val="000000" w:themeColor="text1"/>
          <w:sz w:val="21"/>
          <w:szCs w:val="21"/>
        </w:rPr>
        <w:t xml:space="preserve">This may have been </w:t>
      </w:r>
      <w:r w:rsidR="006D4D5C">
        <w:rPr>
          <w:rFonts w:ascii="Century Gothic" w:hAnsi="Century Gothic"/>
          <w:color w:val="000000" w:themeColor="text1"/>
          <w:sz w:val="21"/>
          <w:szCs w:val="21"/>
        </w:rPr>
        <w:t>influenced</w:t>
      </w:r>
      <w:r w:rsidR="006D4D5C" w:rsidRPr="006D4D5C">
        <w:rPr>
          <w:rFonts w:ascii="Century Gothic" w:hAnsi="Century Gothic"/>
          <w:color w:val="000000" w:themeColor="text1"/>
          <w:sz w:val="21"/>
          <w:szCs w:val="21"/>
        </w:rPr>
        <w:t xml:space="preserve"> by </w:t>
      </w:r>
      <w:r w:rsidR="006D4D5C" w:rsidRPr="006D4D5C">
        <w:rPr>
          <w:rFonts w:ascii="Century Gothic" w:hAnsi="Century Gothic"/>
          <w:sz w:val="21"/>
          <w:szCs w:val="21"/>
        </w:rPr>
        <w:t xml:space="preserve">the tribal register drive that was underway </w:t>
      </w:r>
      <w:r w:rsidR="00432EF9">
        <w:rPr>
          <w:rFonts w:ascii="Century Gothic" w:hAnsi="Century Gothic"/>
          <w:sz w:val="21"/>
          <w:szCs w:val="21"/>
        </w:rPr>
        <w:t xml:space="preserve">at that time, </w:t>
      </w:r>
      <w:r w:rsidR="006D4D5C">
        <w:rPr>
          <w:rFonts w:ascii="Century Gothic" w:hAnsi="Century Gothic"/>
          <w:sz w:val="21"/>
          <w:szCs w:val="21"/>
        </w:rPr>
        <w:t>in preparation</w:t>
      </w:r>
      <w:r w:rsidR="006D4D5C" w:rsidRPr="006D4D5C">
        <w:rPr>
          <w:rFonts w:ascii="Century Gothic" w:hAnsi="Century Gothic"/>
          <w:sz w:val="21"/>
          <w:szCs w:val="21"/>
        </w:rPr>
        <w:t xml:space="preserve"> for settlement</w:t>
      </w:r>
      <w:r w:rsidR="006D4D5C">
        <w:rPr>
          <w:rFonts w:ascii="Century Gothic" w:hAnsi="Century Gothic"/>
          <w:sz w:val="21"/>
          <w:szCs w:val="21"/>
        </w:rPr>
        <w:t xml:space="preserve"> of the </w:t>
      </w:r>
      <w:r w:rsidR="006D4D5C" w:rsidRPr="006D4D5C">
        <w:rPr>
          <w:rFonts w:ascii="Century Gothic" w:hAnsi="Century Gothic"/>
          <w:sz w:val="21"/>
          <w:szCs w:val="21"/>
        </w:rPr>
        <w:t xml:space="preserve">Ngai </w:t>
      </w:r>
      <w:proofErr w:type="spellStart"/>
      <w:r w:rsidR="006D4D5C" w:rsidRPr="006D4D5C">
        <w:rPr>
          <w:rFonts w:ascii="Century Gothic" w:hAnsi="Century Gothic"/>
          <w:sz w:val="21"/>
          <w:szCs w:val="21"/>
        </w:rPr>
        <w:t>Tamanuhiri</w:t>
      </w:r>
      <w:proofErr w:type="spellEnd"/>
      <w:r w:rsidR="006D4D5C" w:rsidRPr="006D4D5C">
        <w:rPr>
          <w:rFonts w:ascii="Century Gothic" w:hAnsi="Century Gothic"/>
          <w:sz w:val="21"/>
          <w:szCs w:val="21"/>
        </w:rPr>
        <w:t xml:space="preserve"> </w:t>
      </w:r>
      <w:r w:rsidR="006D4D5C">
        <w:rPr>
          <w:rFonts w:ascii="Century Gothic" w:hAnsi="Century Gothic"/>
          <w:sz w:val="21"/>
          <w:szCs w:val="21"/>
        </w:rPr>
        <w:t>Treaty claim.</w:t>
      </w:r>
      <w:r w:rsidR="006D4D5C">
        <w:rPr>
          <w:rStyle w:val="FootnoteReference"/>
          <w:rFonts w:ascii="Century Gothic" w:hAnsi="Century Gothic"/>
          <w:sz w:val="21"/>
          <w:szCs w:val="21"/>
        </w:rPr>
        <w:footnoteReference w:id="5"/>
      </w:r>
    </w:p>
    <w:p w14:paraId="35BD19F1" w14:textId="25A11AE6" w:rsidR="00FE6316" w:rsidRDefault="00B632DF" w:rsidP="00A61C3A">
      <w:pPr>
        <w:spacing w:line="360" w:lineRule="auto"/>
        <w:rPr>
          <w:rFonts w:ascii="Century Gothic" w:hAnsi="Century Gothic"/>
          <w:color w:val="000000" w:themeColor="text1"/>
          <w:sz w:val="21"/>
          <w:szCs w:val="21"/>
        </w:rPr>
      </w:pPr>
      <w:r w:rsidRPr="006D4D5C">
        <w:rPr>
          <w:rFonts w:ascii="Century Gothic" w:hAnsi="Century Gothic"/>
          <w:color w:val="000000" w:themeColor="text1"/>
          <w:sz w:val="21"/>
          <w:szCs w:val="21"/>
        </w:rPr>
        <w:t>Typically such shifts are not randomly distributed by age or sex, but tend to be more prevalent among females than males, and concentrated in particular ages (</w:t>
      </w:r>
      <w:proofErr w:type="spellStart"/>
      <w:r w:rsidRPr="006D4D5C">
        <w:rPr>
          <w:rFonts w:ascii="Century Gothic" w:hAnsi="Century Gothic"/>
          <w:color w:val="000000" w:themeColor="text1"/>
          <w:sz w:val="21"/>
          <w:szCs w:val="21"/>
        </w:rPr>
        <w:t>Kukutai</w:t>
      </w:r>
      <w:proofErr w:type="spellEnd"/>
      <w:r w:rsidRPr="006D4D5C">
        <w:rPr>
          <w:rFonts w:ascii="Century Gothic" w:hAnsi="Century Gothic"/>
          <w:color w:val="000000" w:themeColor="text1"/>
          <w:sz w:val="21"/>
          <w:szCs w:val="21"/>
        </w:rPr>
        <w:t xml:space="preserve"> &amp; </w:t>
      </w:r>
      <w:proofErr w:type="spellStart"/>
      <w:r w:rsidRPr="006D4D5C">
        <w:rPr>
          <w:rFonts w:ascii="Century Gothic" w:hAnsi="Century Gothic"/>
          <w:color w:val="000000" w:themeColor="text1"/>
          <w:sz w:val="21"/>
          <w:szCs w:val="21"/>
        </w:rPr>
        <w:t>Rarere</w:t>
      </w:r>
      <w:proofErr w:type="spellEnd"/>
      <w:r w:rsidRPr="006D4D5C">
        <w:rPr>
          <w:rFonts w:ascii="Century Gothic" w:hAnsi="Century Gothic"/>
          <w:color w:val="000000" w:themeColor="text1"/>
          <w:sz w:val="21"/>
          <w:szCs w:val="21"/>
        </w:rPr>
        <w:t xml:space="preserve">, 2013). The magnitude of the increase is evident when compared to the growth of the </w:t>
      </w:r>
      <w:r w:rsidR="00FE6316" w:rsidRPr="006D4D5C">
        <w:rPr>
          <w:rFonts w:ascii="Century Gothic" w:hAnsi="Century Gothic"/>
          <w:color w:val="000000" w:themeColor="text1"/>
          <w:sz w:val="21"/>
          <w:szCs w:val="21"/>
        </w:rPr>
        <w:t>wider M</w:t>
      </w:r>
      <w:r w:rsidR="00A61C3A" w:rsidRPr="006D4D5C">
        <w:rPr>
          <w:rFonts w:ascii="Century Gothic" w:hAnsi="Century Gothic"/>
          <w:color w:val="000000" w:themeColor="text1"/>
          <w:sz w:val="21"/>
          <w:szCs w:val="21"/>
        </w:rPr>
        <w:t>ā</w:t>
      </w:r>
      <w:r w:rsidR="00FE6316" w:rsidRPr="006D4D5C">
        <w:rPr>
          <w:rFonts w:ascii="Century Gothic" w:hAnsi="Century Gothic"/>
          <w:color w:val="000000" w:themeColor="text1"/>
          <w:sz w:val="21"/>
          <w:szCs w:val="21"/>
        </w:rPr>
        <w:t xml:space="preserve">ori descent population </w:t>
      </w:r>
      <w:r w:rsidRPr="006D4D5C">
        <w:rPr>
          <w:rFonts w:ascii="Century Gothic" w:hAnsi="Century Gothic"/>
          <w:color w:val="000000" w:themeColor="text1"/>
          <w:sz w:val="21"/>
          <w:szCs w:val="21"/>
        </w:rPr>
        <w:t>(bottom of Figure 1) which only increased</w:t>
      </w:r>
      <w:r>
        <w:rPr>
          <w:rFonts w:ascii="Century Gothic" w:hAnsi="Century Gothic"/>
          <w:color w:val="000000" w:themeColor="text1"/>
          <w:sz w:val="21"/>
          <w:szCs w:val="21"/>
        </w:rPr>
        <w:t xml:space="preserve"> by 6.6 per cent between </w:t>
      </w:r>
      <w:r w:rsidR="00412703">
        <w:rPr>
          <w:rFonts w:ascii="Century Gothic" w:hAnsi="Century Gothic"/>
          <w:color w:val="000000" w:themeColor="text1"/>
          <w:sz w:val="21"/>
          <w:szCs w:val="21"/>
        </w:rPr>
        <w:t xml:space="preserve">2001 and 2006, and </w:t>
      </w:r>
      <w:r>
        <w:rPr>
          <w:rFonts w:ascii="Century Gothic" w:hAnsi="Century Gothic"/>
          <w:color w:val="000000" w:themeColor="text1"/>
          <w:sz w:val="21"/>
          <w:szCs w:val="21"/>
        </w:rPr>
        <w:t xml:space="preserve">by 3.8 per cent between 2006 and 2013. </w:t>
      </w:r>
    </w:p>
    <w:p w14:paraId="3091ABB8" w14:textId="6D948971" w:rsidR="003F7AE9" w:rsidRDefault="003F7AE9" w:rsidP="0033211E">
      <w:pPr>
        <w:spacing w:line="360" w:lineRule="auto"/>
        <w:rPr>
          <w:rFonts w:ascii="Century Gothic" w:hAnsi="Century Gothic"/>
          <w:color w:val="000000" w:themeColor="text1"/>
          <w:sz w:val="21"/>
          <w:szCs w:val="21"/>
        </w:rPr>
      </w:pPr>
      <w:r>
        <w:rPr>
          <w:rFonts w:ascii="Century Gothic" w:hAnsi="Century Gothic"/>
          <w:color w:val="000000" w:themeColor="text1"/>
          <w:sz w:val="21"/>
          <w:szCs w:val="21"/>
        </w:rPr>
        <w:t xml:space="preserve">It is worth nothing there that there are significantly more individuals on the </w:t>
      </w:r>
      <w:proofErr w:type="spellStart"/>
      <w:r>
        <w:rPr>
          <w:rFonts w:ascii="Century Gothic" w:hAnsi="Century Gothic"/>
          <w:color w:val="000000" w:themeColor="text1"/>
          <w:sz w:val="21"/>
          <w:szCs w:val="21"/>
        </w:rPr>
        <w:t>Ngāi</w:t>
      </w:r>
      <w:proofErr w:type="spellEnd"/>
      <w:r>
        <w:rPr>
          <w:rFonts w:ascii="Century Gothic" w:hAnsi="Century Gothic"/>
          <w:color w:val="000000" w:themeColor="text1"/>
          <w:sz w:val="21"/>
          <w:szCs w:val="21"/>
        </w:rPr>
        <w:t xml:space="preserve"> </w:t>
      </w:r>
      <w:proofErr w:type="spellStart"/>
      <w:r>
        <w:rPr>
          <w:rFonts w:ascii="Century Gothic" w:hAnsi="Century Gothic"/>
          <w:color w:val="000000" w:themeColor="text1"/>
          <w:sz w:val="21"/>
          <w:szCs w:val="21"/>
        </w:rPr>
        <w:t>Tāmanuhiri</w:t>
      </w:r>
      <w:proofErr w:type="spellEnd"/>
      <w:r>
        <w:rPr>
          <w:rFonts w:ascii="Century Gothic" w:hAnsi="Century Gothic"/>
          <w:color w:val="000000" w:themeColor="text1"/>
          <w:sz w:val="21"/>
          <w:szCs w:val="21"/>
        </w:rPr>
        <w:t xml:space="preserve"> </w:t>
      </w:r>
      <w:r w:rsidR="0033211E">
        <w:rPr>
          <w:rFonts w:ascii="Century Gothic" w:hAnsi="Century Gothic"/>
          <w:color w:val="000000" w:themeColor="text1"/>
          <w:sz w:val="21"/>
          <w:szCs w:val="21"/>
        </w:rPr>
        <w:t xml:space="preserve">iwi register </w:t>
      </w:r>
      <w:r>
        <w:rPr>
          <w:rFonts w:ascii="Century Gothic" w:hAnsi="Century Gothic"/>
          <w:color w:val="000000" w:themeColor="text1"/>
          <w:sz w:val="21"/>
          <w:szCs w:val="21"/>
        </w:rPr>
        <w:t>(2,546 in August 2017</w:t>
      </w:r>
      <w:r>
        <w:rPr>
          <w:rStyle w:val="FootnoteReference"/>
          <w:rFonts w:ascii="Century Gothic" w:hAnsi="Century Gothic"/>
          <w:color w:val="000000" w:themeColor="text1"/>
          <w:sz w:val="21"/>
          <w:szCs w:val="21"/>
        </w:rPr>
        <w:footnoteReference w:id="6"/>
      </w:r>
      <w:r>
        <w:rPr>
          <w:rFonts w:ascii="Century Gothic" w:hAnsi="Century Gothic"/>
          <w:color w:val="000000" w:themeColor="text1"/>
          <w:sz w:val="21"/>
          <w:szCs w:val="21"/>
        </w:rPr>
        <w:t>) than were enumerated in the 2013 c</w:t>
      </w:r>
      <w:r w:rsidR="0033211E">
        <w:rPr>
          <w:rFonts w:ascii="Century Gothic" w:hAnsi="Century Gothic"/>
          <w:color w:val="000000" w:themeColor="text1"/>
          <w:sz w:val="21"/>
          <w:szCs w:val="21"/>
        </w:rPr>
        <w:t>ensus. Even if we subtract members</w:t>
      </w:r>
      <w:r>
        <w:rPr>
          <w:rFonts w:ascii="Century Gothic" w:hAnsi="Century Gothic"/>
          <w:color w:val="000000" w:themeColor="text1"/>
          <w:sz w:val="21"/>
          <w:szCs w:val="21"/>
        </w:rPr>
        <w:t xml:space="preserve"> with an Australian address (n=366), the registered population is still higher (n=2,180). It is likely that the registered </w:t>
      </w:r>
      <w:proofErr w:type="spellStart"/>
      <w:r>
        <w:rPr>
          <w:rFonts w:ascii="Century Gothic" w:hAnsi="Century Gothic"/>
          <w:color w:val="000000" w:themeColor="text1"/>
          <w:sz w:val="21"/>
          <w:szCs w:val="21"/>
        </w:rPr>
        <w:t>Ngāi</w:t>
      </w:r>
      <w:proofErr w:type="spellEnd"/>
      <w:r>
        <w:rPr>
          <w:rFonts w:ascii="Century Gothic" w:hAnsi="Century Gothic"/>
          <w:color w:val="000000" w:themeColor="text1"/>
          <w:sz w:val="21"/>
          <w:szCs w:val="21"/>
        </w:rPr>
        <w:t xml:space="preserve"> </w:t>
      </w:r>
      <w:proofErr w:type="spellStart"/>
      <w:r>
        <w:rPr>
          <w:rFonts w:ascii="Century Gothic" w:hAnsi="Century Gothic"/>
          <w:color w:val="000000" w:themeColor="text1"/>
          <w:sz w:val="21"/>
          <w:szCs w:val="21"/>
        </w:rPr>
        <w:t>Tāmanuhiri</w:t>
      </w:r>
      <w:proofErr w:type="spellEnd"/>
      <w:r>
        <w:rPr>
          <w:rFonts w:ascii="Century Gothic" w:hAnsi="Century Gothic"/>
          <w:color w:val="000000" w:themeColor="text1"/>
          <w:sz w:val="21"/>
          <w:szCs w:val="21"/>
        </w:rPr>
        <w:t xml:space="preserve"> population will also vary from the self-identified census population in terms of age-sex composition, and possibly socio-demographic and cultural characteristics, such as the </w:t>
      </w:r>
      <w:proofErr w:type="spellStart"/>
      <w:r>
        <w:rPr>
          <w:rFonts w:ascii="Century Gothic" w:hAnsi="Century Gothic"/>
          <w:color w:val="000000" w:themeColor="text1"/>
          <w:sz w:val="21"/>
          <w:szCs w:val="21"/>
        </w:rPr>
        <w:t>teo</w:t>
      </w:r>
      <w:proofErr w:type="spellEnd"/>
      <w:r>
        <w:rPr>
          <w:rFonts w:ascii="Century Gothic" w:hAnsi="Century Gothic"/>
          <w:color w:val="000000" w:themeColor="text1"/>
          <w:sz w:val="21"/>
          <w:szCs w:val="21"/>
        </w:rPr>
        <w:t xml:space="preserve"> reo Māori ability. These differences needs to be borne in mind when interpreting the result</w:t>
      </w:r>
      <w:r w:rsidR="0033211E">
        <w:rPr>
          <w:rFonts w:ascii="Century Gothic" w:hAnsi="Century Gothic"/>
          <w:color w:val="000000" w:themeColor="text1"/>
          <w:sz w:val="21"/>
          <w:szCs w:val="21"/>
        </w:rPr>
        <w:t>s</w:t>
      </w:r>
      <w:r>
        <w:rPr>
          <w:rFonts w:ascii="Century Gothic" w:hAnsi="Century Gothic"/>
          <w:color w:val="000000" w:themeColor="text1"/>
          <w:sz w:val="21"/>
          <w:szCs w:val="21"/>
        </w:rPr>
        <w:t xml:space="preserve"> of this report.</w:t>
      </w:r>
    </w:p>
    <w:p w14:paraId="10175233" w14:textId="77777777" w:rsidR="008F68BE" w:rsidRDefault="008F68BE">
      <w:pPr>
        <w:rPr>
          <w:rFonts w:ascii="Century Gothic" w:hAnsi="Century Gothic"/>
          <w:b/>
          <w:bCs/>
          <w:color w:val="44546A"/>
          <w:sz w:val="20"/>
          <w:szCs w:val="20"/>
        </w:rPr>
      </w:pPr>
      <w:bookmarkStart w:id="11" w:name="_Ref471988737"/>
      <w:r>
        <w:rPr>
          <w:rFonts w:ascii="Century Gothic" w:hAnsi="Century Gothic"/>
          <w:b/>
          <w:bCs/>
          <w:color w:val="44546A"/>
          <w:sz w:val="20"/>
          <w:szCs w:val="20"/>
        </w:rPr>
        <w:br w:type="page"/>
      </w:r>
    </w:p>
    <w:p w14:paraId="77967CEE" w14:textId="6CA2D336" w:rsidR="00CF4A7E" w:rsidRPr="00DF212D" w:rsidRDefault="00CF4A7E" w:rsidP="00C31C69">
      <w:pPr>
        <w:spacing w:after="0" w:line="276" w:lineRule="auto"/>
        <w:rPr>
          <w:rFonts w:ascii="Century Gothic" w:eastAsiaTheme="majorEastAsia" w:hAnsi="Century Gothic" w:cstheme="majorBidi"/>
          <w:b/>
          <w:bCs/>
          <w:color w:val="4EAFC6"/>
          <w:sz w:val="21"/>
          <w:szCs w:val="21"/>
          <w:lang w:eastAsia="en-US"/>
        </w:rPr>
      </w:pPr>
      <w:bookmarkStart w:id="12" w:name="_Toc491783060"/>
      <w:r w:rsidRPr="00DF212D">
        <w:rPr>
          <w:rFonts w:ascii="Century Gothic" w:hAnsi="Century Gothic"/>
          <w:b/>
          <w:bCs/>
          <w:color w:val="44546A"/>
          <w:sz w:val="20"/>
          <w:szCs w:val="20"/>
        </w:rPr>
        <w:lastRenderedPageBreak/>
        <w:t xml:space="preserve">Figure </w:t>
      </w:r>
      <w:r>
        <w:rPr>
          <w:rFonts w:ascii="Century Gothic" w:hAnsi="Century Gothic"/>
          <w:b/>
          <w:bCs/>
          <w:color w:val="44546A"/>
          <w:sz w:val="20"/>
          <w:szCs w:val="20"/>
        </w:rPr>
        <w:fldChar w:fldCharType="begin"/>
      </w:r>
      <w:r w:rsidRPr="00DF212D">
        <w:rPr>
          <w:rFonts w:ascii="Century Gothic" w:hAnsi="Century Gothic"/>
          <w:b/>
          <w:bCs/>
          <w:color w:val="44546A"/>
          <w:sz w:val="20"/>
          <w:szCs w:val="20"/>
        </w:rPr>
        <w:instrText xml:space="preserve"> STYLEREF 1 \s </w:instrText>
      </w:r>
      <w:r>
        <w:rPr>
          <w:rFonts w:ascii="Century Gothic" w:hAnsi="Century Gothic"/>
          <w:b/>
          <w:bCs/>
          <w:color w:val="44546A"/>
          <w:sz w:val="20"/>
          <w:szCs w:val="20"/>
        </w:rPr>
        <w:fldChar w:fldCharType="separate"/>
      </w:r>
      <w:r w:rsidR="00954E28">
        <w:rPr>
          <w:rFonts w:ascii="Century Gothic" w:hAnsi="Century Gothic" w:hint="cs"/>
          <w:b/>
          <w:bCs/>
          <w:noProof/>
          <w:color w:val="44546A"/>
          <w:sz w:val="20"/>
          <w:szCs w:val="20"/>
          <w:cs/>
        </w:rPr>
        <w:t>‎</w:t>
      </w:r>
      <w:r w:rsidR="00954E28">
        <w:rPr>
          <w:rFonts w:ascii="Century Gothic" w:hAnsi="Century Gothic"/>
          <w:b/>
          <w:bCs/>
          <w:noProof/>
          <w:color w:val="44546A"/>
          <w:sz w:val="20"/>
          <w:szCs w:val="20"/>
        </w:rPr>
        <w:t>1</w:t>
      </w:r>
      <w:r>
        <w:rPr>
          <w:rFonts w:ascii="Century Gothic" w:hAnsi="Century Gothic"/>
          <w:b/>
          <w:bCs/>
          <w:color w:val="44546A"/>
          <w:sz w:val="20"/>
          <w:szCs w:val="20"/>
        </w:rPr>
        <w:fldChar w:fldCharType="end"/>
      </w:r>
      <w:r w:rsidRPr="00DF212D">
        <w:rPr>
          <w:rFonts w:ascii="Century Gothic" w:hAnsi="Century Gothic"/>
          <w:b/>
          <w:bCs/>
          <w:color w:val="44546A"/>
          <w:sz w:val="20"/>
          <w:szCs w:val="20"/>
        </w:rPr>
        <w:t>.</w:t>
      </w:r>
      <w:r>
        <w:rPr>
          <w:rFonts w:ascii="Century Gothic" w:hAnsi="Century Gothic"/>
          <w:b/>
          <w:bCs/>
          <w:color w:val="44546A"/>
          <w:sz w:val="20"/>
          <w:szCs w:val="20"/>
        </w:rPr>
        <w:fldChar w:fldCharType="begin"/>
      </w:r>
      <w:r w:rsidRPr="00DF212D">
        <w:rPr>
          <w:rFonts w:ascii="Century Gothic" w:hAnsi="Century Gothic"/>
          <w:b/>
          <w:bCs/>
          <w:color w:val="44546A"/>
          <w:sz w:val="20"/>
          <w:szCs w:val="20"/>
        </w:rPr>
        <w:instrText xml:space="preserve"> SEQ Figure \* ARABIC \s 1 </w:instrText>
      </w:r>
      <w:r>
        <w:rPr>
          <w:rFonts w:ascii="Century Gothic" w:hAnsi="Century Gothic"/>
          <w:b/>
          <w:bCs/>
          <w:color w:val="44546A"/>
          <w:sz w:val="20"/>
          <w:szCs w:val="20"/>
        </w:rPr>
        <w:fldChar w:fldCharType="separate"/>
      </w:r>
      <w:r w:rsidR="00954E28">
        <w:rPr>
          <w:rFonts w:ascii="Century Gothic" w:hAnsi="Century Gothic"/>
          <w:b/>
          <w:bCs/>
          <w:noProof/>
          <w:color w:val="44546A"/>
          <w:sz w:val="20"/>
          <w:szCs w:val="20"/>
        </w:rPr>
        <w:t>1</w:t>
      </w:r>
      <w:r>
        <w:rPr>
          <w:rFonts w:ascii="Century Gothic" w:hAnsi="Century Gothic"/>
          <w:b/>
          <w:bCs/>
          <w:color w:val="44546A"/>
          <w:sz w:val="20"/>
          <w:szCs w:val="20"/>
        </w:rPr>
        <w:fldChar w:fldCharType="end"/>
      </w:r>
      <w:bookmarkEnd w:id="11"/>
      <w:r w:rsidRPr="00DF212D">
        <w:rPr>
          <w:rFonts w:ascii="Century Gothic" w:hAnsi="Century Gothic"/>
          <w:b/>
          <w:bCs/>
          <w:color w:val="44546A"/>
          <w:sz w:val="20"/>
          <w:szCs w:val="20"/>
        </w:rPr>
        <w:t xml:space="preserve"> </w:t>
      </w:r>
      <w:proofErr w:type="spellStart"/>
      <w:r w:rsidR="008B1B8A">
        <w:rPr>
          <w:rFonts w:ascii="Century Gothic" w:hAnsi="Century Gothic"/>
          <w:b/>
          <w:bCs/>
          <w:color w:val="44546A"/>
          <w:sz w:val="20"/>
          <w:szCs w:val="20"/>
        </w:rPr>
        <w:t>Ngāi</w:t>
      </w:r>
      <w:proofErr w:type="spellEnd"/>
      <w:r w:rsidR="00DF212D" w:rsidRPr="00DF212D">
        <w:rPr>
          <w:rFonts w:ascii="Century Gothic" w:hAnsi="Century Gothic"/>
          <w:b/>
          <w:bCs/>
          <w:color w:val="44546A"/>
          <w:sz w:val="20"/>
          <w:szCs w:val="20"/>
        </w:rPr>
        <w:t xml:space="preserve"> </w:t>
      </w:r>
      <w:proofErr w:type="spellStart"/>
      <w:r w:rsidR="00DF212D" w:rsidRPr="00DF212D">
        <w:rPr>
          <w:rFonts w:ascii="Century Gothic" w:hAnsi="Century Gothic"/>
          <w:b/>
          <w:bCs/>
          <w:color w:val="44546A"/>
          <w:sz w:val="20"/>
          <w:szCs w:val="20"/>
        </w:rPr>
        <w:t>Tāmanuhiri</w:t>
      </w:r>
      <w:proofErr w:type="spellEnd"/>
      <w:r w:rsidR="00C31C69">
        <w:rPr>
          <w:rFonts w:ascii="Century Gothic" w:hAnsi="Century Gothic"/>
          <w:b/>
          <w:bCs/>
          <w:color w:val="44546A"/>
          <w:sz w:val="20"/>
          <w:szCs w:val="20"/>
        </w:rPr>
        <w:t xml:space="preserve"> </w:t>
      </w:r>
      <w:r w:rsidR="00DF212D">
        <w:rPr>
          <w:rFonts w:ascii="Century Gothic" w:hAnsi="Century Gothic"/>
          <w:b/>
          <w:bCs/>
          <w:color w:val="44546A"/>
          <w:sz w:val="20"/>
          <w:szCs w:val="20"/>
        </w:rPr>
        <w:t xml:space="preserve">and the total </w:t>
      </w:r>
      <w:r w:rsidR="00744830">
        <w:rPr>
          <w:rFonts w:ascii="Century Gothic" w:hAnsi="Century Gothic"/>
          <w:b/>
          <w:bCs/>
          <w:color w:val="44546A"/>
          <w:sz w:val="20"/>
          <w:szCs w:val="20"/>
        </w:rPr>
        <w:t xml:space="preserve">Māori </w:t>
      </w:r>
      <w:r w:rsidR="00DF212D">
        <w:rPr>
          <w:rFonts w:ascii="Century Gothic" w:hAnsi="Century Gothic"/>
          <w:b/>
          <w:bCs/>
          <w:color w:val="44546A"/>
          <w:sz w:val="20"/>
          <w:szCs w:val="20"/>
        </w:rPr>
        <w:t>descent population as recorded at the 2001, 2006 and 2013 Censuses</w:t>
      </w:r>
      <w:bookmarkEnd w:id="12"/>
    </w:p>
    <w:p w14:paraId="42FC6BDC" w14:textId="6DB5C7B2" w:rsidR="00FE651C" w:rsidRPr="00DF212D" w:rsidRDefault="00FC2192" w:rsidP="006001B0">
      <w:pPr>
        <w:spacing w:after="0" w:line="276" w:lineRule="auto"/>
        <w:rPr>
          <w:rFonts w:ascii="Century Gothic" w:hAnsi="Century Gothic"/>
          <w:b/>
          <w:bCs/>
          <w:color w:val="44546A"/>
          <w:sz w:val="20"/>
          <w:szCs w:val="20"/>
        </w:rPr>
      </w:pPr>
      <w:r w:rsidRPr="00FC2192">
        <w:rPr>
          <w:noProof/>
        </w:rPr>
        <w:drawing>
          <wp:anchor distT="0" distB="0" distL="114300" distR="114300" simplePos="0" relativeHeight="252308480" behindDoc="1" locked="0" layoutInCell="1" allowOverlap="1" wp14:anchorId="415A278A" wp14:editId="6953DCBD">
            <wp:simplePos x="0" y="0"/>
            <wp:positionH relativeFrom="column">
              <wp:posOffset>-3200</wp:posOffset>
            </wp:positionH>
            <wp:positionV relativeFrom="paragraph">
              <wp:posOffset>-457</wp:posOffset>
            </wp:positionV>
            <wp:extent cx="5997600" cy="4550400"/>
            <wp:effectExtent l="0" t="0" r="3175" b="3175"/>
            <wp:wrapTight wrapText="bothSides">
              <wp:wrapPolygon edited="0">
                <wp:start x="0" y="0"/>
                <wp:lineTo x="0" y="10762"/>
                <wp:lineTo x="7890" y="11576"/>
                <wp:lineTo x="7890" y="21525"/>
                <wp:lineTo x="21543" y="21525"/>
                <wp:lineTo x="21543" y="10672"/>
                <wp:lineTo x="13379" y="10129"/>
                <wp:lineTo x="13379" y="0"/>
                <wp:lineTo x="0" y="0"/>
              </wp:wrapPolygon>
            </wp:wrapTight>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7600" cy="455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C2B913" w14:textId="6106BB54" w:rsidR="00FE651C" w:rsidRPr="00DF212D" w:rsidRDefault="00FE651C" w:rsidP="006001B0">
      <w:pPr>
        <w:spacing w:after="0" w:line="276" w:lineRule="auto"/>
        <w:rPr>
          <w:rFonts w:ascii="Century Gothic" w:hAnsi="Century Gothic"/>
          <w:b/>
          <w:bCs/>
          <w:color w:val="44546A"/>
          <w:sz w:val="20"/>
          <w:szCs w:val="20"/>
        </w:rPr>
      </w:pPr>
    </w:p>
    <w:p w14:paraId="11430C29" w14:textId="3AF8F254" w:rsidR="00FE651C" w:rsidRPr="00DF212D" w:rsidRDefault="00FE651C" w:rsidP="006001B0">
      <w:pPr>
        <w:spacing w:after="0" w:line="276" w:lineRule="auto"/>
        <w:rPr>
          <w:rFonts w:ascii="Century Gothic" w:hAnsi="Century Gothic"/>
          <w:b/>
          <w:bCs/>
          <w:color w:val="44546A"/>
          <w:sz w:val="20"/>
          <w:szCs w:val="20"/>
        </w:rPr>
      </w:pPr>
    </w:p>
    <w:p w14:paraId="543636D8" w14:textId="32F1BE8B" w:rsidR="00FE651C" w:rsidRPr="00DF212D" w:rsidRDefault="00FE651C" w:rsidP="006001B0">
      <w:pPr>
        <w:spacing w:after="0" w:line="276" w:lineRule="auto"/>
        <w:rPr>
          <w:rFonts w:ascii="Century Gothic" w:hAnsi="Century Gothic"/>
          <w:b/>
          <w:bCs/>
          <w:color w:val="44546A"/>
          <w:sz w:val="20"/>
          <w:szCs w:val="20"/>
        </w:rPr>
      </w:pPr>
    </w:p>
    <w:p w14:paraId="3EE2CDEB" w14:textId="0628D8EA" w:rsidR="00FE651C" w:rsidRPr="00DF212D" w:rsidRDefault="00FE651C" w:rsidP="006001B0">
      <w:pPr>
        <w:spacing w:after="0" w:line="276" w:lineRule="auto"/>
        <w:rPr>
          <w:rFonts w:ascii="Century Gothic" w:hAnsi="Century Gothic"/>
          <w:b/>
          <w:bCs/>
          <w:color w:val="44546A"/>
          <w:sz w:val="20"/>
          <w:szCs w:val="20"/>
        </w:rPr>
      </w:pPr>
    </w:p>
    <w:p w14:paraId="1E0274DC" w14:textId="08A965C2" w:rsidR="00FE651C" w:rsidRPr="00DF212D" w:rsidRDefault="00FE651C" w:rsidP="006001B0">
      <w:pPr>
        <w:spacing w:after="0" w:line="276" w:lineRule="auto"/>
        <w:rPr>
          <w:rFonts w:ascii="Century Gothic" w:hAnsi="Century Gothic"/>
          <w:b/>
          <w:bCs/>
          <w:color w:val="44546A"/>
          <w:sz w:val="20"/>
          <w:szCs w:val="20"/>
        </w:rPr>
      </w:pPr>
    </w:p>
    <w:p w14:paraId="5F49D025" w14:textId="77777777" w:rsidR="00FE651C" w:rsidRPr="00DF212D" w:rsidRDefault="00FE651C" w:rsidP="006001B0">
      <w:pPr>
        <w:spacing w:after="0" w:line="276" w:lineRule="auto"/>
        <w:rPr>
          <w:rFonts w:ascii="Century Gothic" w:hAnsi="Century Gothic"/>
          <w:b/>
          <w:bCs/>
          <w:color w:val="44546A"/>
          <w:sz w:val="20"/>
          <w:szCs w:val="20"/>
        </w:rPr>
      </w:pPr>
    </w:p>
    <w:p w14:paraId="2DC30C6F" w14:textId="5648BD5A" w:rsidR="00FE651C" w:rsidRPr="00DF212D" w:rsidRDefault="00FE651C" w:rsidP="006001B0">
      <w:pPr>
        <w:spacing w:after="0" w:line="276" w:lineRule="auto"/>
        <w:rPr>
          <w:rFonts w:ascii="Century Gothic" w:hAnsi="Century Gothic"/>
          <w:b/>
          <w:bCs/>
          <w:color w:val="44546A"/>
          <w:sz w:val="20"/>
          <w:szCs w:val="20"/>
        </w:rPr>
      </w:pPr>
    </w:p>
    <w:p w14:paraId="2EC0D4DE" w14:textId="319C4F72" w:rsidR="00FE651C" w:rsidRPr="00DF212D" w:rsidRDefault="00FE651C" w:rsidP="006001B0">
      <w:pPr>
        <w:spacing w:after="0" w:line="276" w:lineRule="auto"/>
        <w:rPr>
          <w:rFonts w:ascii="Century Gothic" w:hAnsi="Century Gothic"/>
          <w:b/>
          <w:bCs/>
          <w:color w:val="44546A"/>
          <w:sz w:val="20"/>
          <w:szCs w:val="20"/>
        </w:rPr>
      </w:pPr>
    </w:p>
    <w:p w14:paraId="36B31A9F" w14:textId="2FD26D6F" w:rsidR="00FE651C" w:rsidRPr="00DF212D" w:rsidRDefault="00FE651C" w:rsidP="006001B0">
      <w:pPr>
        <w:spacing w:after="0" w:line="276" w:lineRule="auto"/>
        <w:rPr>
          <w:rFonts w:ascii="Century Gothic" w:hAnsi="Century Gothic"/>
          <w:b/>
          <w:bCs/>
          <w:color w:val="44546A"/>
          <w:sz w:val="20"/>
          <w:szCs w:val="20"/>
        </w:rPr>
      </w:pPr>
    </w:p>
    <w:p w14:paraId="101114AA" w14:textId="0AEA9B5B" w:rsidR="00FE651C" w:rsidRPr="00DF212D" w:rsidRDefault="00FE651C" w:rsidP="006001B0">
      <w:pPr>
        <w:spacing w:after="0" w:line="276" w:lineRule="auto"/>
        <w:rPr>
          <w:rFonts w:ascii="Century Gothic" w:hAnsi="Century Gothic"/>
          <w:b/>
          <w:bCs/>
          <w:color w:val="44546A"/>
          <w:sz w:val="20"/>
          <w:szCs w:val="20"/>
        </w:rPr>
      </w:pPr>
    </w:p>
    <w:p w14:paraId="7A527B7F" w14:textId="1B65C3A3" w:rsidR="00FE651C" w:rsidRPr="00DF212D" w:rsidRDefault="00FE651C" w:rsidP="006001B0">
      <w:pPr>
        <w:spacing w:after="0" w:line="276" w:lineRule="auto"/>
        <w:rPr>
          <w:rFonts w:ascii="Century Gothic" w:hAnsi="Century Gothic"/>
          <w:b/>
          <w:bCs/>
          <w:color w:val="44546A"/>
          <w:sz w:val="20"/>
          <w:szCs w:val="20"/>
        </w:rPr>
      </w:pPr>
    </w:p>
    <w:p w14:paraId="4958AAC0" w14:textId="2DA1C134" w:rsidR="00FE651C" w:rsidRPr="00DF212D" w:rsidRDefault="00FE651C" w:rsidP="006001B0">
      <w:pPr>
        <w:spacing w:after="0" w:line="276" w:lineRule="auto"/>
        <w:rPr>
          <w:rFonts w:ascii="Century Gothic" w:hAnsi="Century Gothic"/>
          <w:b/>
          <w:bCs/>
          <w:color w:val="44546A"/>
          <w:sz w:val="20"/>
          <w:szCs w:val="20"/>
        </w:rPr>
      </w:pPr>
    </w:p>
    <w:p w14:paraId="699B6C14" w14:textId="1FCCA2BD" w:rsidR="00FE651C" w:rsidRPr="00DF212D" w:rsidRDefault="00FE651C" w:rsidP="006001B0">
      <w:pPr>
        <w:spacing w:after="0" w:line="276" w:lineRule="auto"/>
        <w:rPr>
          <w:rFonts w:ascii="Century Gothic" w:hAnsi="Century Gothic"/>
          <w:b/>
          <w:bCs/>
          <w:color w:val="44546A"/>
          <w:sz w:val="20"/>
          <w:szCs w:val="20"/>
        </w:rPr>
      </w:pPr>
    </w:p>
    <w:p w14:paraId="0A8E1D6D" w14:textId="0745C1F5" w:rsidR="00FE651C" w:rsidRPr="00DF212D" w:rsidRDefault="00FE651C" w:rsidP="006001B0">
      <w:pPr>
        <w:spacing w:after="0" w:line="276" w:lineRule="auto"/>
        <w:rPr>
          <w:rFonts w:ascii="Century Gothic" w:hAnsi="Century Gothic"/>
          <w:b/>
          <w:bCs/>
          <w:color w:val="44546A"/>
          <w:sz w:val="20"/>
          <w:szCs w:val="20"/>
        </w:rPr>
      </w:pPr>
    </w:p>
    <w:p w14:paraId="090B9021" w14:textId="01C38F19" w:rsidR="00FE651C" w:rsidRPr="00DF212D" w:rsidRDefault="00FE651C" w:rsidP="006001B0">
      <w:pPr>
        <w:spacing w:after="0" w:line="276" w:lineRule="auto"/>
        <w:rPr>
          <w:rFonts w:ascii="Century Gothic" w:hAnsi="Century Gothic"/>
          <w:b/>
          <w:bCs/>
          <w:color w:val="44546A"/>
          <w:sz w:val="20"/>
          <w:szCs w:val="20"/>
        </w:rPr>
      </w:pPr>
    </w:p>
    <w:p w14:paraId="1BA4F7F0" w14:textId="7AEDBD4A" w:rsidR="00FE651C" w:rsidRPr="00DF212D" w:rsidRDefault="00FE651C" w:rsidP="006001B0">
      <w:pPr>
        <w:spacing w:after="0" w:line="276" w:lineRule="auto"/>
        <w:rPr>
          <w:rFonts w:ascii="Century Gothic" w:hAnsi="Century Gothic"/>
          <w:b/>
          <w:bCs/>
          <w:color w:val="44546A"/>
          <w:sz w:val="20"/>
          <w:szCs w:val="20"/>
        </w:rPr>
      </w:pPr>
    </w:p>
    <w:p w14:paraId="22C883A3" w14:textId="5ECAC2A8" w:rsidR="00FE651C" w:rsidRPr="00DF212D" w:rsidRDefault="00FE651C" w:rsidP="006001B0">
      <w:pPr>
        <w:spacing w:after="0" w:line="276" w:lineRule="auto"/>
        <w:rPr>
          <w:rFonts w:ascii="Century Gothic" w:hAnsi="Century Gothic"/>
          <w:b/>
          <w:bCs/>
          <w:color w:val="44546A"/>
          <w:sz w:val="20"/>
          <w:szCs w:val="20"/>
        </w:rPr>
      </w:pPr>
    </w:p>
    <w:p w14:paraId="016EC8B4" w14:textId="04E8EDD4" w:rsidR="00FE651C" w:rsidRPr="00DF212D" w:rsidRDefault="00FE651C" w:rsidP="006001B0">
      <w:pPr>
        <w:spacing w:after="0" w:line="276" w:lineRule="auto"/>
        <w:rPr>
          <w:rFonts w:ascii="Century Gothic" w:hAnsi="Century Gothic"/>
          <w:b/>
          <w:bCs/>
          <w:color w:val="44546A"/>
          <w:sz w:val="20"/>
          <w:szCs w:val="20"/>
        </w:rPr>
      </w:pPr>
    </w:p>
    <w:p w14:paraId="1216559E" w14:textId="17FB1049" w:rsidR="00FE651C" w:rsidRPr="00DF212D" w:rsidRDefault="00FE651C" w:rsidP="006001B0">
      <w:pPr>
        <w:spacing w:after="0" w:line="276" w:lineRule="auto"/>
        <w:rPr>
          <w:rFonts w:ascii="Century Gothic" w:hAnsi="Century Gothic"/>
          <w:b/>
          <w:bCs/>
          <w:color w:val="44546A"/>
          <w:sz w:val="20"/>
          <w:szCs w:val="20"/>
        </w:rPr>
      </w:pPr>
    </w:p>
    <w:p w14:paraId="7DDF5906" w14:textId="55795F59" w:rsidR="00FE651C" w:rsidRPr="00DF212D" w:rsidRDefault="00FE651C" w:rsidP="006001B0">
      <w:pPr>
        <w:spacing w:after="0" w:line="276" w:lineRule="auto"/>
        <w:rPr>
          <w:rFonts w:ascii="Century Gothic" w:hAnsi="Century Gothic"/>
          <w:b/>
          <w:bCs/>
          <w:color w:val="44546A"/>
          <w:sz w:val="20"/>
          <w:szCs w:val="20"/>
        </w:rPr>
      </w:pPr>
    </w:p>
    <w:p w14:paraId="7C674395" w14:textId="6F12EB40" w:rsidR="00FE651C" w:rsidRPr="00DF212D" w:rsidRDefault="00FE651C" w:rsidP="006001B0">
      <w:pPr>
        <w:spacing w:after="0" w:line="276" w:lineRule="auto"/>
        <w:rPr>
          <w:rFonts w:ascii="Century Gothic" w:hAnsi="Century Gothic"/>
          <w:b/>
          <w:bCs/>
          <w:color w:val="44546A"/>
          <w:sz w:val="20"/>
          <w:szCs w:val="20"/>
        </w:rPr>
      </w:pPr>
    </w:p>
    <w:p w14:paraId="2098B23A" w14:textId="77777777" w:rsidR="00FE651C" w:rsidRPr="00DF212D" w:rsidRDefault="00FE651C" w:rsidP="006001B0">
      <w:pPr>
        <w:spacing w:after="0" w:line="276" w:lineRule="auto"/>
        <w:rPr>
          <w:rFonts w:ascii="Century Gothic" w:hAnsi="Century Gothic"/>
          <w:b/>
          <w:bCs/>
          <w:color w:val="44546A"/>
          <w:sz w:val="20"/>
          <w:szCs w:val="20"/>
        </w:rPr>
      </w:pPr>
    </w:p>
    <w:p w14:paraId="1CFA21BB" w14:textId="7B5D00B5" w:rsidR="00FE651C" w:rsidRPr="00DF212D" w:rsidRDefault="00FE651C" w:rsidP="006001B0">
      <w:pPr>
        <w:spacing w:after="0" w:line="276" w:lineRule="auto"/>
        <w:rPr>
          <w:rFonts w:ascii="Century Gothic" w:hAnsi="Century Gothic"/>
          <w:b/>
          <w:bCs/>
          <w:color w:val="44546A"/>
          <w:sz w:val="20"/>
          <w:szCs w:val="20"/>
        </w:rPr>
      </w:pPr>
    </w:p>
    <w:p w14:paraId="42ECC16D" w14:textId="0806FEC9" w:rsidR="00FE651C" w:rsidRDefault="00FE651C" w:rsidP="006001B0">
      <w:pPr>
        <w:spacing w:after="0" w:line="276" w:lineRule="auto"/>
        <w:rPr>
          <w:rFonts w:ascii="Century Gothic" w:hAnsi="Century Gothic"/>
          <w:b/>
          <w:bCs/>
          <w:color w:val="44546A"/>
          <w:sz w:val="20"/>
          <w:szCs w:val="20"/>
        </w:rPr>
      </w:pPr>
    </w:p>
    <w:p w14:paraId="548E3FCC" w14:textId="77777777" w:rsidR="00412703" w:rsidRDefault="00412703" w:rsidP="00B632DF">
      <w:pPr>
        <w:spacing w:after="0" w:line="360" w:lineRule="auto"/>
        <w:rPr>
          <w:rFonts w:ascii="Century Gothic" w:hAnsi="Century Gothic"/>
          <w:color w:val="000000" w:themeColor="text1"/>
          <w:sz w:val="21"/>
          <w:szCs w:val="21"/>
        </w:rPr>
      </w:pPr>
    </w:p>
    <w:p w14:paraId="54B3669A" w14:textId="69EF9763" w:rsidR="003E52F6" w:rsidRPr="0065189F" w:rsidRDefault="003E52F6" w:rsidP="0065189F">
      <w:pPr>
        <w:pStyle w:val="Heading2"/>
        <w:numPr>
          <w:ilvl w:val="1"/>
          <w:numId w:val="2"/>
        </w:numPr>
        <w:pBdr>
          <w:bottom w:val="single" w:sz="4" w:space="1" w:color="42AAC2"/>
        </w:pBdr>
        <w:ind w:left="567" w:hanging="567"/>
        <w:rPr>
          <w:rFonts w:ascii="Century Gothic" w:hAnsi="Century Gothic"/>
          <w:b/>
          <w:bCs/>
          <w:color w:val="1F4D78"/>
        </w:rPr>
      </w:pPr>
      <w:bookmarkStart w:id="13" w:name="_Toc491783043"/>
      <w:r w:rsidRPr="0065189F">
        <w:rPr>
          <w:rFonts w:ascii="Century Gothic" w:hAnsi="Century Gothic"/>
          <w:b/>
          <w:bCs/>
          <w:color w:val="1F4D78"/>
        </w:rPr>
        <w:t xml:space="preserve">Growth of </w:t>
      </w:r>
      <w:proofErr w:type="spellStart"/>
      <w:proofErr w:type="gramStart"/>
      <w:r w:rsidRPr="0065189F">
        <w:rPr>
          <w:rFonts w:ascii="Century Gothic" w:hAnsi="Century Gothic"/>
          <w:b/>
          <w:bCs/>
          <w:color w:val="1F4D78"/>
        </w:rPr>
        <w:t>te</w:t>
      </w:r>
      <w:proofErr w:type="spellEnd"/>
      <w:proofErr w:type="gramEnd"/>
      <w:r w:rsidRPr="0065189F">
        <w:rPr>
          <w:rFonts w:ascii="Century Gothic" w:hAnsi="Century Gothic"/>
          <w:b/>
          <w:bCs/>
          <w:color w:val="1F4D78"/>
        </w:rPr>
        <w:t xml:space="preserve"> reo Māori speakers</w:t>
      </w:r>
      <w:bookmarkEnd w:id="13"/>
    </w:p>
    <w:p w14:paraId="38DA415F" w14:textId="77777777" w:rsidR="003E52F6" w:rsidRDefault="003E52F6" w:rsidP="00877AF2">
      <w:pPr>
        <w:spacing w:after="0" w:line="360" w:lineRule="auto"/>
        <w:rPr>
          <w:rFonts w:ascii="Century Gothic" w:hAnsi="Century Gothic"/>
          <w:color w:val="000000" w:themeColor="text1"/>
          <w:sz w:val="21"/>
          <w:szCs w:val="21"/>
        </w:rPr>
      </w:pPr>
    </w:p>
    <w:p w14:paraId="7D843290" w14:textId="3FC1AC9C" w:rsidR="00412703" w:rsidRDefault="00412703" w:rsidP="00A61C3A">
      <w:pPr>
        <w:spacing w:after="0" w:line="360" w:lineRule="auto"/>
        <w:rPr>
          <w:rFonts w:ascii="Century Gothic" w:hAnsi="Century Gothic"/>
          <w:color w:val="000000" w:themeColor="text1"/>
          <w:sz w:val="21"/>
          <w:szCs w:val="21"/>
        </w:rPr>
      </w:pPr>
      <w:r>
        <w:rPr>
          <w:rFonts w:ascii="Century Gothic" w:hAnsi="Century Gothic"/>
          <w:color w:val="000000" w:themeColor="text1"/>
          <w:sz w:val="21"/>
          <w:szCs w:val="21"/>
        </w:rPr>
        <w:t xml:space="preserve">To what extent did the overall growth of </w:t>
      </w:r>
      <w:proofErr w:type="spellStart"/>
      <w:r w:rsidR="00B632DF">
        <w:rPr>
          <w:rFonts w:ascii="Century Gothic" w:hAnsi="Century Gothic"/>
          <w:color w:val="000000" w:themeColor="text1"/>
          <w:sz w:val="21"/>
          <w:szCs w:val="21"/>
        </w:rPr>
        <w:t>Ngāi</w:t>
      </w:r>
      <w:proofErr w:type="spellEnd"/>
      <w:r w:rsidR="00B632DF">
        <w:rPr>
          <w:rFonts w:ascii="Century Gothic" w:hAnsi="Century Gothic"/>
          <w:color w:val="000000" w:themeColor="text1"/>
          <w:sz w:val="21"/>
          <w:szCs w:val="21"/>
        </w:rPr>
        <w:t xml:space="preserve"> </w:t>
      </w:r>
      <w:proofErr w:type="spellStart"/>
      <w:r w:rsidR="00B632DF">
        <w:rPr>
          <w:rFonts w:ascii="Century Gothic" w:hAnsi="Century Gothic"/>
          <w:color w:val="000000" w:themeColor="text1"/>
          <w:sz w:val="21"/>
          <w:szCs w:val="21"/>
        </w:rPr>
        <w:t>Tāmanuhiri</w:t>
      </w:r>
      <w:proofErr w:type="spellEnd"/>
      <w:r w:rsidR="00B632DF">
        <w:rPr>
          <w:rFonts w:ascii="Century Gothic" w:hAnsi="Century Gothic"/>
          <w:color w:val="000000" w:themeColor="text1"/>
          <w:sz w:val="21"/>
          <w:szCs w:val="21"/>
        </w:rPr>
        <w:t xml:space="preserve"> between 2001 and 2006 translate into a</w:t>
      </w:r>
      <w:r>
        <w:rPr>
          <w:rFonts w:ascii="Century Gothic" w:hAnsi="Century Gothic"/>
          <w:color w:val="000000" w:themeColor="text1"/>
          <w:sz w:val="21"/>
          <w:szCs w:val="21"/>
        </w:rPr>
        <w:t xml:space="preserve">n equivalent growth in </w:t>
      </w:r>
      <w:proofErr w:type="spellStart"/>
      <w:proofErr w:type="gramStart"/>
      <w:r w:rsidR="00A61C3A">
        <w:rPr>
          <w:rFonts w:ascii="Century Gothic" w:hAnsi="Century Gothic"/>
          <w:color w:val="000000" w:themeColor="text1"/>
          <w:sz w:val="21"/>
          <w:szCs w:val="21"/>
        </w:rPr>
        <w:t>t</w:t>
      </w:r>
      <w:r w:rsidR="000B60A9">
        <w:rPr>
          <w:rFonts w:ascii="Century Gothic" w:hAnsi="Century Gothic"/>
          <w:color w:val="000000" w:themeColor="text1"/>
          <w:sz w:val="21"/>
          <w:szCs w:val="21"/>
        </w:rPr>
        <w:t>e</w:t>
      </w:r>
      <w:proofErr w:type="spellEnd"/>
      <w:proofErr w:type="gramEnd"/>
      <w:r w:rsidR="000B60A9">
        <w:rPr>
          <w:rFonts w:ascii="Century Gothic" w:hAnsi="Century Gothic"/>
          <w:color w:val="000000" w:themeColor="text1"/>
          <w:sz w:val="21"/>
          <w:szCs w:val="21"/>
        </w:rPr>
        <w:t xml:space="preserve"> reo Māori</w:t>
      </w:r>
      <w:r>
        <w:rPr>
          <w:rFonts w:ascii="Century Gothic" w:hAnsi="Century Gothic"/>
          <w:color w:val="000000" w:themeColor="text1"/>
          <w:sz w:val="21"/>
          <w:szCs w:val="21"/>
        </w:rPr>
        <w:t xml:space="preserve"> speakers? </w:t>
      </w:r>
      <w:r w:rsidR="00E621CE">
        <w:rPr>
          <w:rFonts w:ascii="Century Gothic" w:hAnsi="Century Gothic"/>
          <w:color w:val="000000" w:themeColor="text1"/>
          <w:sz w:val="21"/>
          <w:szCs w:val="21"/>
        </w:rPr>
        <w:t>Between</w:t>
      </w:r>
      <w:r>
        <w:rPr>
          <w:rFonts w:ascii="Century Gothic" w:hAnsi="Century Gothic"/>
          <w:color w:val="000000" w:themeColor="text1"/>
          <w:sz w:val="21"/>
          <w:szCs w:val="21"/>
        </w:rPr>
        <w:t xml:space="preserve"> 2001 and 2006 the number of </w:t>
      </w:r>
      <w:proofErr w:type="spellStart"/>
      <w:r>
        <w:rPr>
          <w:rFonts w:ascii="Century Gothic" w:hAnsi="Century Gothic"/>
          <w:color w:val="000000" w:themeColor="text1"/>
          <w:sz w:val="21"/>
          <w:szCs w:val="21"/>
        </w:rPr>
        <w:t>Ngāi</w:t>
      </w:r>
      <w:proofErr w:type="spellEnd"/>
      <w:r>
        <w:rPr>
          <w:rFonts w:ascii="Century Gothic" w:hAnsi="Century Gothic"/>
          <w:color w:val="000000" w:themeColor="text1"/>
          <w:sz w:val="21"/>
          <w:szCs w:val="21"/>
        </w:rPr>
        <w:t xml:space="preserve"> </w:t>
      </w:r>
      <w:proofErr w:type="spellStart"/>
      <w:r>
        <w:rPr>
          <w:rFonts w:ascii="Century Gothic" w:hAnsi="Century Gothic"/>
          <w:color w:val="000000" w:themeColor="text1"/>
          <w:sz w:val="21"/>
          <w:szCs w:val="21"/>
        </w:rPr>
        <w:t>Tāmanuhiri</w:t>
      </w:r>
      <w:proofErr w:type="spellEnd"/>
      <w:r>
        <w:rPr>
          <w:rFonts w:ascii="Century Gothic" w:hAnsi="Century Gothic"/>
          <w:color w:val="000000" w:themeColor="text1"/>
          <w:sz w:val="21"/>
          <w:szCs w:val="21"/>
        </w:rPr>
        <w:t xml:space="preserve"> </w:t>
      </w:r>
      <w:proofErr w:type="spellStart"/>
      <w:proofErr w:type="gramStart"/>
      <w:r w:rsidR="00E621CE">
        <w:rPr>
          <w:rFonts w:ascii="Century Gothic" w:hAnsi="Century Gothic"/>
          <w:color w:val="000000" w:themeColor="text1"/>
          <w:sz w:val="21"/>
          <w:szCs w:val="21"/>
        </w:rPr>
        <w:t>te</w:t>
      </w:r>
      <w:proofErr w:type="spellEnd"/>
      <w:proofErr w:type="gramEnd"/>
      <w:r w:rsidR="00E621CE">
        <w:rPr>
          <w:rFonts w:ascii="Century Gothic" w:hAnsi="Century Gothic"/>
          <w:color w:val="000000" w:themeColor="text1"/>
          <w:sz w:val="21"/>
          <w:szCs w:val="21"/>
        </w:rPr>
        <w:t xml:space="preserve"> reo speakers </w:t>
      </w:r>
      <w:r>
        <w:rPr>
          <w:rFonts w:ascii="Century Gothic" w:hAnsi="Century Gothic"/>
          <w:color w:val="000000" w:themeColor="text1"/>
          <w:sz w:val="21"/>
          <w:szCs w:val="21"/>
        </w:rPr>
        <w:t xml:space="preserve">increased from 516 to 693, which was an increase of just over one third.  </w:t>
      </w:r>
      <w:r w:rsidR="00D473C4">
        <w:rPr>
          <w:rFonts w:ascii="Century Gothic" w:hAnsi="Century Gothic"/>
          <w:color w:val="000000" w:themeColor="text1"/>
          <w:sz w:val="21"/>
          <w:szCs w:val="21"/>
        </w:rPr>
        <w:t>A</w:t>
      </w:r>
      <w:r>
        <w:rPr>
          <w:rFonts w:ascii="Century Gothic" w:hAnsi="Century Gothic"/>
          <w:color w:val="000000" w:themeColor="text1"/>
          <w:sz w:val="21"/>
          <w:szCs w:val="21"/>
        </w:rPr>
        <w:t xml:space="preserve"> substantial share of the ‘new’ iwi affiliates in 2006 were </w:t>
      </w:r>
      <w:proofErr w:type="spellStart"/>
      <w:proofErr w:type="gramStart"/>
      <w:r w:rsidR="00A61C3A">
        <w:rPr>
          <w:rFonts w:ascii="Century Gothic" w:hAnsi="Century Gothic"/>
          <w:color w:val="000000" w:themeColor="text1"/>
          <w:sz w:val="21"/>
          <w:szCs w:val="21"/>
        </w:rPr>
        <w:t>t</w:t>
      </w:r>
      <w:r w:rsidR="000B60A9">
        <w:rPr>
          <w:rFonts w:ascii="Century Gothic" w:hAnsi="Century Gothic"/>
          <w:color w:val="000000" w:themeColor="text1"/>
          <w:sz w:val="21"/>
          <w:szCs w:val="21"/>
        </w:rPr>
        <w:t>e</w:t>
      </w:r>
      <w:proofErr w:type="spellEnd"/>
      <w:proofErr w:type="gramEnd"/>
      <w:r w:rsidR="000B60A9">
        <w:rPr>
          <w:rFonts w:ascii="Century Gothic" w:hAnsi="Century Gothic"/>
          <w:color w:val="000000" w:themeColor="text1"/>
          <w:sz w:val="21"/>
          <w:szCs w:val="21"/>
        </w:rPr>
        <w:t xml:space="preserve"> reo Māori</w:t>
      </w:r>
      <w:r>
        <w:rPr>
          <w:rFonts w:ascii="Century Gothic" w:hAnsi="Century Gothic"/>
          <w:color w:val="000000" w:themeColor="text1"/>
          <w:sz w:val="21"/>
          <w:szCs w:val="21"/>
        </w:rPr>
        <w:t xml:space="preserve"> speakers. </w:t>
      </w:r>
      <w:r w:rsidR="00AE0420">
        <w:rPr>
          <w:rFonts w:ascii="Century Gothic" w:hAnsi="Century Gothic"/>
          <w:color w:val="000000" w:themeColor="text1"/>
          <w:sz w:val="21"/>
          <w:szCs w:val="21"/>
        </w:rPr>
        <w:t xml:space="preserve">Unsurprisingly, the increase in </w:t>
      </w:r>
      <w:proofErr w:type="spellStart"/>
      <w:proofErr w:type="gramStart"/>
      <w:r w:rsidR="00800906">
        <w:rPr>
          <w:rFonts w:ascii="Century Gothic" w:hAnsi="Century Gothic"/>
          <w:color w:val="000000" w:themeColor="text1"/>
          <w:sz w:val="21"/>
          <w:szCs w:val="21"/>
        </w:rPr>
        <w:t>t</w:t>
      </w:r>
      <w:r w:rsidR="000B60A9">
        <w:rPr>
          <w:rFonts w:ascii="Century Gothic" w:hAnsi="Century Gothic"/>
          <w:color w:val="000000" w:themeColor="text1"/>
          <w:sz w:val="21"/>
          <w:szCs w:val="21"/>
        </w:rPr>
        <w:t>e</w:t>
      </w:r>
      <w:proofErr w:type="spellEnd"/>
      <w:proofErr w:type="gramEnd"/>
      <w:r w:rsidR="000B60A9">
        <w:rPr>
          <w:rFonts w:ascii="Century Gothic" w:hAnsi="Century Gothic"/>
          <w:color w:val="000000" w:themeColor="text1"/>
          <w:sz w:val="21"/>
          <w:szCs w:val="21"/>
        </w:rPr>
        <w:t xml:space="preserve"> reo Māori</w:t>
      </w:r>
      <w:r w:rsidR="00AE0420">
        <w:rPr>
          <w:rFonts w:ascii="Century Gothic" w:hAnsi="Century Gothic"/>
          <w:color w:val="000000" w:themeColor="text1"/>
          <w:sz w:val="21"/>
          <w:szCs w:val="21"/>
        </w:rPr>
        <w:t xml:space="preserve"> speakers was much smaller between 2006 and 2013 at 3.5 per cent which translated into an additional 24 speakers, although rounding may mean that the actual number was slightly lower or higher. </w:t>
      </w:r>
    </w:p>
    <w:p w14:paraId="42684B8C" w14:textId="77777777" w:rsidR="00412703" w:rsidRDefault="00412703" w:rsidP="00412703">
      <w:pPr>
        <w:spacing w:after="0" w:line="360" w:lineRule="auto"/>
        <w:rPr>
          <w:rFonts w:ascii="Century Gothic" w:hAnsi="Century Gothic"/>
          <w:color w:val="000000" w:themeColor="text1"/>
          <w:sz w:val="21"/>
          <w:szCs w:val="21"/>
        </w:rPr>
      </w:pPr>
    </w:p>
    <w:p w14:paraId="0F69228A" w14:textId="38B4DCF5" w:rsidR="00EC703D" w:rsidRPr="00412703" w:rsidRDefault="004607F0" w:rsidP="00A61C3A">
      <w:pPr>
        <w:spacing w:after="0" w:line="360" w:lineRule="auto"/>
        <w:rPr>
          <w:rFonts w:ascii="Century Gothic" w:hAnsi="Century Gothic"/>
          <w:color w:val="000000" w:themeColor="text1"/>
          <w:sz w:val="21"/>
          <w:szCs w:val="21"/>
        </w:rPr>
      </w:pPr>
      <w:r>
        <w:rPr>
          <w:rFonts w:ascii="Century Gothic" w:hAnsi="Century Gothic"/>
          <w:color w:val="000000" w:themeColor="text1"/>
          <w:sz w:val="21"/>
          <w:szCs w:val="21"/>
        </w:rPr>
        <w:t>It is useful to put these</w:t>
      </w:r>
      <w:r w:rsidR="00412703">
        <w:rPr>
          <w:rFonts w:ascii="Century Gothic" w:hAnsi="Century Gothic"/>
          <w:color w:val="000000" w:themeColor="text1"/>
          <w:sz w:val="21"/>
          <w:szCs w:val="21"/>
        </w:rPr>
        <w:t xml:space="preserve"> figures in perspective</w:t>
      </w:r>
      <w:r>
        <w:rPr>
          <w:rFonts w:ascii="Century Gothic" w:hAnsi="Century Gothic"/>
          <w:color w:val="000000" w:themeColor="text1"/>
          <w:sz w:val="21"/>
          <w:szCs w:val="21"/>
        </w:rPr>
        <w:t xml:space="preserve"> by considering </w:t>
      </w:r>
      <w:r w:rsidR="00412703">
        <w:rPr>
          <w:rFonts w:ascii="Century Gothic" w:hAnsi="Century Gothic"/>
          <w:color w:val="000000" w:themeColor="text1"/>
          <w:sz w:val="21"/>
          <w:szCs w:val="21"/>
        </w:rPr>
        <w:t xml:space="preserve">patterns of growth for </w:t>
      </w:r>
      <w:proofErr w:type="spellStart"/>
      <w:proofErr w:type="gramStart"/>
      <w:r w:rsidR="00E621CE">
        <w:rPr>
          <w:rFonts w:ascii="Century Gothic" w:hAnsi="Century Gothic"/>
          <w:color w:val="000000" w:themeColor="text1"/>
          <w:sz w:val="21"/>
          <w:szCs w:val="21"/>
        </w:rPr>
        <w:t>t</w:t>
      </w:r>
      <w:r w:rsidR="000B60A9">
        <w:rPr>
          <w:rFonts w:ascii="Century Gothic" w:hAnsi="Century Gothic"/>
          <w:color w:val="000000" w:themeColor="text1"/>
          <w:sz w:val="21"/>
          <w:szCs w:val="21"/>
        </w:rPr>
        <w:t>e</w:t>
      </w:r>
      <w:proofErr w:type="spellEnd"/>
      <w:proofErr w:type="gramEnd"/>
      <w:r w:rsidR="000B60A9">
        <w:rPr>
          <w:rFonts w:ascii="Century Gothic" w:hAnsi="Century Gothic"/>
          <w:color w:val="000000" w:themeColor="text1"/>
          <w:sz w:val="21"/>
          <w:szCs w:val="21"/>
        </w:rPr>
        <w:t xml:space="preserve"> reo Māori</w:t>
      </w:r>
      <w:r w:rsidR="00412703">
        <w:rPr>
          <w:rFonts w:ascii="Century Gothic" w:hAnsi="Century Gothic"/>
          <w:color w:val="000000" w:themeColor="text1"/>
          <w:sz w:val="21"/>
          <w:szCs w:val="21"/>
        </w:rPr>
        <w:t xml:space="preserve"> speakers within the broader Māori descent population (bottom of Figure 2).  Between 2001 and 2006, the numb</w:t>
      </w:r>
      <w:r>
        <w:rPr>
          <w:rFonts w:ascii="Century Gothic" w:hAnsi="Century Gothic"/>
          <w:color w:val="000000" w:themeColor="text1"/>
          <w:sz w:val="21"/>
          <w:szCs w:val="21"/>
        </w:rPr>
        <w:t xml:space="preserve">er of </w:t>
      </w:r>
      <w:proofErr w:type="spellStart"/>
      <w:proofErr w:type="gramStart"/>
      <w:r w:rsidR="00D316E9">
        <w:rPr>
          <w:rFonts w:ascii="Century Gothic" w:hAnsi="Century Gothic"/>
          <w:color w:val="000000" w:themeColor="text1"/>
          <w:sz w:val="21"/>
          <w:szCs w:val="21"/>
        </w:rPr>
        <w:t>t</w:t>
      </w:r>
      <w:r w:rsidR="000B60A9">
        <w:rPr>
          <w:rFonts w:ascii="Century Gothic" w:hAnsi="Century Gothic"/>
          <w:color w:val="000000" w:themeColor="text1"/>
          <w:sz w:val="21"/>
          <w:szCs w:val="21"/>
        </w:rPr>
        <w:t>e</w:t>
      </w:r>
      <w:proofErr w:type="spellEnd"/>
      <w:proofErr w:type="gramEnd"/>
      <w:r w:rsidR="000B60A9">
        <w:rPr>
          <w:rFonts w:ascii="Century Gothic" w:hAnsi="Century Gothic"/>
          <w:color w:val="000000" w:themeColor="text1"/>
          <w:sz w:val="21"/>
          <w:szCs w:val="21"/>
        </w:rPr>
        <w:t xml:space="preserve"> reo Māori</w:t>
      </w:r>
      <w:r>
        <w:rPr>
          <w:rFonts w:ascii="Century Gothic" w:hAnsi="Century Gothic"/>
          <w:color w:val="000000" w:themeColor="text1"/>
          <w:sz w:val="21"/>
          <w:szCs w:val="21"/>
        </w:rPr>
        <w:t xml:space="preserve"> speakers overall </w:t>
      </w:r>
      <w:r w:rsidR="00412703">
        <w:rPr>
          <w:rFonts w:ascii="Century Gothic" w:hAnsi="Century Gothic"/>
          <w:color w:val="000000" w:themeColor="text1"/>
          <w:sz w:val="21"/>
          <w:szCs w:val="21"/>
        </w:rPr>
        <w:t>only increased very slightly by 1.3 per cent</w:t>
      </w:r>
      <w:r w:rsidR="00AE0420">
        <w:rPr>
          <w:rFonts w:ascii="Century Gothic" w:hAnsi="Century Gothic"/>
          <w:color w:val="000000" w:themeColor="text1"/>
          <w:sz w:val="21"/>
          <w:szCs w:val="21"/>
        </w:rPr>
        <w:t xml:space="preserve">, and then the actual number decreased by 4.5 per cent between 2006 and 2013. </w:t>
      </w:r>
      <w:r>
        <w:rPr>
          <w:rFonts w:ascii="Century Gothic" w:hAnsi="Century Gothic"/>
          <w:color w:val="000000" w:themeColor="text1"/>
          <w:sz w:val="21"/>
          <w:szCs w:val="21"/>
        </w:rPr>
        <w:t xml:space="preserve">The growth of </w:t>
      </w:r>
      <w:proofErr w:type="spellStart"/>
      <w:proofErr w:type="gramStart"/>
      <w:r w:rsidR="00A61C3A">
        <w:rPr>
          <w:rFonts w:ascii="Century Gothic" w:hAnsi="Century Gothic"/>
          <w:color w:val="000000" w:themeColor="text1"/>
          <w:sz w:val="21"/>
          <w:szCs w:val="21"/>
        </w:rPr>
        <w:t>t</w:t>
      </w:r>
      <w:r w:rsidR="000B60A9">
        <w:rPr>
          <w:rFonts w:ascii="Century Gothic" w:hAnsi="Century Gothic"/>
          <w:color w:val="000000" w:themeColor="text1"/>
          <w:sz w:val="21"/>
          <w:szCs w:val="21"/>
        </w:rPr>
        <w:t>e</w:t>
      </w:r>
      <w:proofErr w:type="spellEnd"/>
      <w:proofErr w:type="gramEnd"/>
      <w:r w:rsidR="000B60A9">
        <w:rPr>
          <w:rFonts w:ascii="Century Gothic" w:hAnsi="Century Gothic"/>
          <w:color w:val="000000" w:themeColor="text1"/>
          <w:sz w:val="21"/>
          <w:szCs w:val="21"/>
        </w:rPr>
        <w:t xml:space="preserve"> reo Māori</w:t>
      </w:r>
      <w:r>
        <w:rPr>
          <w:rFonts w:ascii="Century Gothic" w:hAnsi="Century Gothic"/>
          <w:color w:val="000000" w:themeColor="text1"/>
          <w:sz w:val="21"/>
          <w:szCs w:val="21"/>
        </w:rPr>
        <w:t xml:space="preserve"> speakers within </w:t>
      </w:r>
      <w:proofErr w:type="spellStart"/>
      <w:r>
        <w:rPr>
          <w:rFonts w:ascii="Century Gothic" w:hAnsi="Century Gothic"/>
          <w:color w:val="000000" w:themeColor="text1"/>
          <w:sz w:val="21"/>
          <w:szCs w:val="21"/>
        </w:rPr>
        <w:t>Ngāi</w:t>
      </w:r>
      <w:proofErr w:type="spellEnd"/>
      <w:r>
        <w:rPr>
          <w:rFonts w:ascii="Century Gothic" w:hAnsi="Century Gothic"/>
          <w:color w:val="000000" w:themeColor="text1"/>
          <w:sz w:val="21"/>
          <w:szCs w:val="21"/>
        </w:rPr>
        <w:t xml:space="preserve"> </w:t>
      </w:r>
      <w:proofErr w:type="spellStart"/>
      <w:r>
        <w:rPr>
          <w:rFonts w:ascii="Century Gothic" w:hAnsi="Century Gothic"/>
          <w:color w:val="000000" w:themeColor="text1"/>
          <w:sz w:val="21"/>
          <w:szCs w:val="21"/>
        </w:rPr>
        <w:t>Tāmanuhiri</w:t>
      </w:r>
      <w:proofErr w:type="spellEnd"/>
      <w:r>
        <w:rPr>
          <w:rFonts w:ascii="Century Gothic" w:hAnsi="Century Gothic"/>
          <w:color w:val="000000" w:themeColor="text1"/>
          <w:sz w:val="21"/>
          <w:szCs w:val="21"/>
        </w:rPr>
        <w:t xml:space="preserve"> is thus very positive when viewed within a wider </w:t>
      </w:r>
      <w:r w:rsidR="00D473C4">
        <w:rPr>
          <w:rFonts w:ascii="Century Gothic" w:hAnsi="Century Gothic"/>
          <w:color w:val="000000" w:themeColor="text1"/>
          <w:sz w:val="21"/>
          <w:szCs w:val="21"/>
        </w:rPr>
        <w:t xml:space="preserve">Māori </w:t>
      </w:r>
      <w:r>
        <w:rPr>
          <w:rFonts w:ascii="Century Gothic" w:hAnsi="Century Gothic"/>
          <w:color w:val="000000" w:themeColor="text1"/>
          <w:sz w:val="21"/>
          <w:szCs w:val="21"/>
        </w:rPr>
        <w:t>context.</w:t>
      </w:r>
    </w:p>
    <w:p w14:paraId="1FA48BDF" w14:textId="57547334" w:rsidR="00FE6316" w:rsidRPr="00DF212D" w:rsidRDefault="00FE6316" w:rsidP="00C31C69">
      <w:pPr>
        <w:spacing w:after="0" w:line="276" w:lineRule="auto"/>
        <w:rPr>
          <w:rFonts w:ascii="Century Gothic" w:eastAsiaTheme="majorEastAsia" w:hAnsi="Century Gothic" w:cstheme="majorBidi"/>
          <w:b/>
          <w:bCs/>
          <w:color w:val="4EAFC6"/>
          <w:sz w:val="21"/>
          <w:szCs w:val="21"/>
          <w:lang w:eastAsia="en-US"/>
        </w:rPr>
      </w:pPr>
      <w:bookmarkStart w:id="14" w:name="_Toc491783061"/>
      <w:r w:rsidRPr="00DF212D">
        <w:rPr>
          <w:rFonts w:ascii="Century Gothic" w:hAnsi="Century Gothic"/>
          <w:b/>
          <w:bCs/>
          <w:color w:val="44546A"/>
          <w:sz w:val="20"/>
          <w:szCs w:val="20"/>
        </w:rPr>
        <w:lastRenderedPageBreak/>
        <w:t xml:space="preserve">Figure </w:t>
      </w:r>
      <w:r>
        <w:rPr>
          <w:rFonts w:ascii="Century Gothic" w:hAnsi="Century Gothic"/>
          <w:b/>
          <w:bCs/>
          <w:color w:val="44546A"/>
          <w:sz w:val="20"/>
          <w:szCs w:val="20"/>
        </w:rPr>
        <w:fldChar w:fldCharType="begin"/>
      </w:r>
      <w:r w:rsidRPr="00DF212D">
        <w:rPr>
          <w:rFonts w:ascii="Century Gothic" w:hAnsi="Century Gothic"/>
          <w:b/>
          <w:bCs/>
          <w:color w:val="44546A"/>
          <w:sz w:val="20"/>
          <w:szCs w:val="20"/>
        </w:rPr>
        <w:instrText xml:space="preserve"> STYLEREF 1 \s </w:instrText>
      </w:r>
      <w:r>
        <w:rPr>
          <w:rFonts w:ascii="Century Gothic" w:hAnsi="Century Gothic"/>
          <w:b/>
          <w:bCs/>
          <w:color w:val="44546A"/>
          <w:sz w:val="20"/>
          <w:szCs w:val="20"/>
        </w:rPr>
        <w:fldChar w:fldCharType="separate"/>
      </w:r>
      <w:r w:rsidR="001470A9">
        <w:rPr>
          <w:rFonts w:ascii="Century Gothic" w:hAnsi="Century Gothic" w:hint="cs"/>
          <w:b/>
          <w:bCs/>
          <w:noProof/>
          <w:color w:val="44546A"/>
          <w:sz w:val="20"/>
          <w:szCs w:val="20"/>
          <w:cs/>
        </w:rPr>
        <w:t>‎</w:t>
      </w:r>
      <w:r w:rsidR="001470A9">
        <w:rPr>
          <w:rFonts w:ascii="Century Gothic" w:hAnsi="Century Gothic"/>
          <w:b/>
          <w:bCs/>
          <w:noProof/>
          <w:color w:val="44546A"/>
          <w:sz w:val="20"/>
          <w:szCs w:val="20"/>
        </w:rPr>
        <w:t>1</w:t>
      </w:r>
      <w:r>
        <w:rPr>
          <w:rFonts w:ascii="Century Gothic" w:hAnsi="Century Gothic"/>
          <w:b/>
          <w:bCs/>
          <w:color w:val="44546A"/>
          <w:sz w:val="20"/>
          <w:szCs w:val="20"/>
        </w:rPr>
        <w:fldChar w:fldCharType="end"/>
      </w:r>
      <w:r w:rsidRPr="00DF212D">
        <w:rPr>
          <w:rFonts w:ascii="Century Gothic" w:hAnsi="Century Gothic"/>
          <w:b/>
          <w:bCs/>
          <w:color w:val="44546A"/>
          <w:sz w:val="20"/>
          <w:szCs w:val="20"/>
        </w:rPr>
        <w:t>.</w:t>
      </w:r>
      <w:r>
        <w:rPr>
          <w:rFonts w:ascii="Century Gothic" w:hAnsi="Century Gothic"/>
          <w:b/>
          <w:bCs/>
          <w:color w:val="44546A"/>
          <w:sz w:val="20"/>
          <w:szCs w:val="20"/>
        </w:rPr>
        <w:fldChar w:fldCharType="begin"/>
      </w:r>
      <w:r w:rsidRPr="00DF212D">
        <w:rPr>
          <w:rFonts w:ascii="Century Gothic" w:hAnsi="Century Gothic"/>
          <w:b/>
          <w:bCs/>
          <w:color w:val="44546A"/>
          <w:sz w:val="20"/>
          <w:szCs w:val="20"/>
        </w:rPr>
        <w:instrText xml:space="preserve"> SEQ Figure \* ARABIC \s 1 </w:instrText>
      </w:r>
      <w:r>
        <w:rPr>
          <w:rFonts w:ascii="Century Gothic" w:hAnsi="Century Gothic"/>
          <w:b/>
          <w:bCs/>
          <w:color w:val="44546A"/>
          <w:sz w:val="20"/>
          <w:szCs w:val="20"/>
        </w:rPr>
        <w:fldChar w:fldCharType="separate"/>
      </w:r>
      <w:r w:rsidR="001470A9">
        <w:rPr>
          <w:rFonts w:ascii="Century Gothic" w:hAnsi="Century Gothic"/>
          <w:b/>
          <w:bCs/>
          <w:noProof/>
          <w:color w:val="44546A"/>
          <w:sz w:val="20"/>
          <w:szCs w:val="20"/>
        </w:rPr>
        <w:t>2</w:t>
      </w:r>
      <w:r>
        <w:rPr>
          <w:rFonts w:ascii="Century Gothic" w:hAnsi="Century Gothic"/>
          <w:b/>
          <w:bCs/>
          <w:color w:val="44546A"/>
          <w:sz w:val="20"/>
          <w:szCs w:val="20"/>
        </w:rPr>
        <w:fldChar w:fldCharType="end"/>
      </w:r>
      <w:r w:rsidRPr="00DF212D">
        <w:rPr>
          <w:rFonts w:ascii="Century Gothic" w:hAnsi="Century Gothic"/>
          <w:b/>
          <w:bCs/>
          <w:color w:val="44546A"/>
          <w:sz w:val="20"/>
          <w:szCs w:val="20"/>
        </w:rPr>
        <w:t xml:space="preserve"> </w:t>
      </w:r>
      <w:r w:rsidR="00C31C69">
        <w:rPr>
          <w:rFonts w:ascii="Century Gothic" w:hAnsi="Century Gothic"/>
          <w:b/>
          <w:bCs/>
          <w:color w:val="44546A"/>
          <w:sz w:val="20"/>
          <w:szCs w:val="20"/>
        </w:rPr>
        <w:t xml:space="preserve">Change in the number of </w:t>
      </w:r>
      <w:proofErr w:type="spellStart"/>
      <w:r w:rsidR="00995709">
        <w:rPr>
          <w:rFonts w:ascii="Century Gothic" w:hAnsi="Century Gothic"/>
          <w:b/>
          <w:bCs/>
          <w:color w:val="44546A"/>
          <w:sz w:val="20"/>
          <w:szCs w:val="20"/>
        </w:rPr>
        <w:t>t</w:t>
      </w:r>
      <w:r w:rsidR="00047DBD">
        <w:rPr>
          <w:rFonts w:ascii="Century Gothic" w:hAnsi="Century Gothic"/>
          <w:b/>
          <w:bCs/>
          <w:color w:val="44546A"/>
          <w:sz w:val="20"/>
          <w:szCs w:val="20"/>
        </w:rPr>
        <w:t>e</w:t>
      </w:r>
      <w:proofErr w:type="spellEnd"/>
      <w:r w:rsidR="00047DBD">
        <w:rPr>
          <w:rFonts w:ascii="Century Gothic" w:hAnsi="Century Gothic"/>
          <w:b/>
          <w:bCs/>
          <w:color w:val="44546A"/>
          <w:sz w:val="20"/>
          <w:szCs w:val="20"/>
        </w:rPr>
        <w:t xml:space="preserve"> Reo Māori</w:t>
      </w:r>
      <w:r w:rsidR="00C31C69">
        <w:rPr>
          <w:rFonts w:ascii="Century Gothic" w:hAnsi="Century Gothic"/>
          <w:b/>
          <w:bCs/>
          <w:color w:val="44546A"/>
          <w:sz w:val="20"/>
          <w:szCs w:val="20"/>
        </w:rPr>
        <w:t xml:space="preserve"> speakers</w:t>
      </w:r>
      <w:r w:rsidR="00713B08">
        <w:rPr>
          <w:rFonts w:ascii="Century Gothic" w:hAnsi="Century Gothic"/>
          <w:b/>
          <w:bCs/>
          <w:color w:val="44546A"/>
          <w:sz w:val="20"/>
          <w:szCs w:val="20"/>
        </w:rPr>
        <w:t xml:space="preserve">; </w:t>
      </w:r>
      <w:proofErr w:type="spellStart"/>
      <w:r w:rsidR="008B1B8A">
        <w:rPr>
          <w:rFonts w:ascii="Century Gothic" w:hAnsi="Century Gothic"/>
          <w:b/>
          <w:bCs/>
          <w:color w:val="44546A"/>
          <w:sz w:val="20"/>
          <w:szCs w:val="20"/>
        </w:rPr>
        <w:t>Ngāi</w:t>
      </w:r>
      <w:proofErr w:type="spellEnd"/>
      <w:r w:rsidRPr="00DF212D">
        <w:rPr>
          <w:rFonts w:ascii="Century Gothic" w:hAnsi="Century Gothic"/>
          <w:b/>
          <w:bCs/>
          <w:color w:val="44546A"/>
          <w:sz w:val="20"/>
          <w:szCs w:val="20"/>
        </w:rPr>
        <w:t xml:space="preserve"> </w:t>
      </w:r>
      <w:proofErr w:type="spellStart"/>
      <w:r w:rsidRPr="00DF212D">
        <w:rPr>
          <w:rFonts w:ascii="Century Gothic" w:hAnsi="Century Gothic"/>
          <w:b/>
          <w:bCs/>
          <w:color w:val="44546A"/>
          <w:sz w:val="20"/>
          <w:szCs w:val="20"/>
        </w:rPr>
        <w:t>Tāmanuhiri</w:t>
      </w:r>
      <w:proofErr w:type="spellEnd"/>
      <w:r w:rsidR="00C31C69">
        <w:rPr>
          <w:rFonts w:ascii="Century Gothic" w:hAnsi="Century Gothic"/>
          <w:b/>
          <w:bCs/>
          <w:color w:val="44546A"/>
          <w:sz w:val="20"/>
          <w:szCs w:val="20"/>
        </w:rPr>
        <w:t xml:space="preserve"> </w:t>
      </w:r>
      <w:r>
        <w:rPr>
          <w:rFonts w:ascii="Century Gothic" w:hAnsi="Century Gothic"/>
          <w:b/>
          <w:bCs/>
          <w:color w:val="44546A"/>
          <w:sz w:val="20"/>
          <w:szCs w:val="20"/>
        </w:rPr>
        <w:t xml:space="preserve">and the total </w:t>
      </w:r>
      <w:proofErr w:type="gramStart"/>
      <w:r>
        <w:rPr>
          <w:rFonts w:ascii="Century Gothic" w:hAnsi="Century Gothic"/>
          <w:b/>
          <w:bCs/>
          <w:color w:val="44546A"/>
          <w:sz w:val="20"/>
          <w:szCs w:val="20"/>
        </w:rPr>
        <w:t>Māori  descent</w:t>
      </w:r>
      <w:proofErr w:type="gramEnd"/>
      <w:r>
        <w:rPr>
          <w:rFonts w:ascii="Century Gothic" w:hAnsi="Century Gothic"/>
          <w:b/>
          <w:bCs/>
          <w:color w:val="44546A"/>
          <w:sz w:val="20"/>
          <w:szCs w:val="20"/>
        </w:rPr>
        <w:t xml:space="preserve"> population as recorded at the 2001, 2006 and 2013 Censuses</w:t>
      </w:r>
      <w:bookmarkEnd w:id="14"/>
    </w:p>
    <w:p w14:paraId="7FBE7702" w14:textId="2E6AB21C" w:rsidR="00FE6316" w:rsidRDefault="00FE6316" w:rsidP="006001B0">
      <w:pPr>
        <w:spacing w:after="0" w:line="276" w:lineRule="auto"/>
        <w:rPr>
          <w:rFonts w:ascii="Century Gothic" w:hAnsi="Century Gothic"/>
          <w:b/>
          <w:bCs/>
          <w:color w:val="44546A"/>
          <w:sz w:val="20"/>
          <w:szCs w:val="20"/>
        </w:rPr>
      </w:pPr>
    </w:p>
    <w:p w14:paraId="2A130C40" w14:textId="0ECC0F47" w:rsidR="00713B08" w:rsidRDefault="00713B08" w:rsidP="006001B0">
      <w:pPr>
        <w:spacing w:after="0" w:line="276" w:lineRule="auto"/>
        <w:rPr>
          <w:rFonts w:ascii="Century Gothic" w:hAnsi="Century Gothic"/>
          <w:b/>
          <w:bCs/>
          <w:color w:val="44546A"/>
          <w:sz w:val="20"/>
          <w:szCs w:val="20"/>
        </w:rPr>
      </w:pPr>
    </w:p>
    <w:p w14:paraId="76145356" w14:textId="079B262F" w:rsidR="00713B08" w:rsidRDefault="00D316E9" w:rsidP="006001B0">
      <w:pPr>
        <w:spacing w:after="0" w:line="276" w:lineRule="auto"/>
        <w:rPr>
          <w:rFonts w:ascii="Century Gothic" w:hAnsi="Century Gothic"/>
          <w:b/>
          <w:bCs/>
          <w:color w:val="44546A"/>
          <w:sz w:val="20"/>
          <w:szCs w:val="20"/>
        </w:rPr>
      </w:pPr>
      <w:r w:rsidRPr="00713B08">
        <w:rPr>
          <w:noProof/>
        </w:rPr>
        <w:drawing>
          <wp:anchor distT="0" distB="0" distL="114300" distR="114300" simplePos="0" relativeHeight="252368896" behindDoc="1" locked="0" layoutInCell="1" allowOverlap="1" wp14:anchorId="4170D54C" wp14:editId="40C4A9B9">
            <wp:simplePos x="0" y="0"/>
            <wp:positionH relativeFrom="page">
              <wp:align>center</wp:align>
            </wp:positionH>
            <wp:positionV relativeFrom="margin">
              <wp:posOffset>726440</wp:posOffset>
            </wp:positionV>
            <wp:extent cx="6001200" cy="4554000"/>
            <wp:effectExtent l="0" t="0" r="0" b="0"/>
            <wp:wrapTight wrapText="bothSides">
              <wp:wrapPolygon edited="0">
                <wp:start x="0" y="0"/>
                <wp:lineTo x="0" y="10753"/>
                <wp:lineTo x="7886" y="11567"/>
                <wp:lineTo x="7886" y="21507"/>
                <wp:lineTo x="21531" y="21507"/>
                <wp:lineTo x="21531" y="10663"/>
                <wp:lineTo x="13371" y="10121"/>
                <wp:lineTo x="1337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1200" cy="455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40C871" w14:textId="4E87CC57" w:rsidR="00713B08" w:rsidRDefault="00713B08" w:rsidP="006001B0">
      <w:pPr>
        <w:spacing w:after="0" w:line="276" w:lineRule="auto"/>
        <w:rPr>
          <w:rFonts w:ascii="Century Gothic" w:hAnsi="Century Gothic"/>
          <w:b/>
          <w:bCs/>
          <w:color w:val="44546A"/>
          <w:sz w:val="20"/>
          <w:szCs w:val="20"/>
        </w:rPr>
      </w:pPr>
    </w:p>
    <w:p w14:paraId="14427F16" w14:textId="0AA218B9" w:rsidR="00713B08" w:rsidRDefault="00713B08" w:rsidP="006001B0">
      <w:pPr>
        <w:spacing w:after="0" w:line="276" w:lineRule="auto"/>
        <w:rPr>
          <w:rFonts w:ascii="Century Gothic" w:hAnsi="Century Gothic"/>
          <w:b/>
          <w:bCs/>
          <w:color w:val="44546A"/>
          <w:sz w:val="20"/>
          <w:szCs w:val="20"/>
        </w:rPr>
      </w:pPr>
    </w:p>
    <w:p w14:paraId="3A8F2769" w14:textId="3B8FA790" w:rsidR="00713B08" w:rsidRDefault="00713B08" w:rsidP="006001B0">
      <w:pPr>
        <w:spacing w:after="0" w:line="276" w:lineRule="auto"/>
        <w:rPr>
          <w:rFonts w:ascii="Century Gothic" w:hAnsi="Century Gothic"/>
          <w:b/>
          <w:bCs/>
          <w:color w:val="44546A"/>
          <w:sz w:val="20"/>
          <w:szCs w:val="20"/>
        </w:rPr>
      </w:pPr>
    </w:p>
    <w:p w14:paraId="582DA053" w14:textId="5590E8DB" w:rsidR="00713B08" w:rsidRDefault="00713B08" w:rsidP="006001B0">
      <w:pPr>
        <w:spacing w:after="0" w:line="276" w:lineRule="auto"/>
        <w:rPr>
          <w:rFonts w:ascii="Century Gothic" w:hAnsi="Century Gothic"/>
          <w:b/>
          <w:bCs/>
          <w:color w:val="44546A"/>
          <w:sz w:val="20"/>
          <w:szCs w:val="20"/>
        </w:rPr>
      </w:pPr>
    </w:p>
    <w:p w14:paraId="77A08102" w14:textId="175E7D2B" w:rsidR="00FE6316" w:rsidRDefault="00FE6316" w:rsidP="006001B0">
      <w:pPr>
        <w:spacing w:after="0" w:line="276" w:lineRule="auto"/>
        <w:rPr>
          <w:rFonts w:ascii="Century Gothic" w:hAnsi="Century Gothic"/>
          <w:b/>
          <w:bCs/>
          <w:color w:val="44546A"/>
          <w:sz w:val="20"/>
          <w:szCs w:val="20"/>
        </w:rPr>
      </w:pPr>
    </w:p>
    <w:p w14:paraId="05EF7ED8" w14:textId="0BBE0A1C" w:rsidR="00FE6316" w:rsidRDefault="00FE6316" w:rsidP="006001B0">
      <w:pPr>
        <w:spacing w:after="0" w:line="276" w:lineRule="auto"/>
        <w:rPr>
          <w:rFonts w:ascii="Century Gothic" w:hAnsi="Century Gothic"/>
          <w:b/>
          <w:bCs/>
          <w:color w:val="44546A"/>
          <w:sz w:val="20"/>
          <w:szCs w:val="20"/>
        </w:rPr>
      </w:pPr>
    </w:p>
    <w:p w14:paraId="49719413" w14:textId="2469776C" w:rsidR="00311D48" w:rsidRDefault="00311D48" w:rsidP="006001B0">
      <w:pPr>
        <w:spacing w:after="0" w:line="276" w:lineRule="auto"/>
        <w:rPr>
          <w:rFonts w:ascii="Century Gothic" w:hAnsi="Century Gothic"/>
          <w:b/>
          <w:bCs/>
          <w:color w:val="44546A"/>
          <w:sz w:val="20"/>
          <w:szCs w:val="20"/>
        </w:rPr>
      </w:pPr>
    </w:p>
    <w:p w14:paraId="3E750F12" w14:textId="1F3514B3" w:rsidR="00FE6316" w:rsidRDefault="00FE6316" w:rsidP="006001B0">
      <w:pPr>
        <w:spacing w:after="0" w:line="276" w:lineRule="auto"/>
        <w:rPr>
          <w:rFonts w:ascii="Century Gothic" w:hAnsi="Century Gothic"/>
          <w:b/>
          <w:bCs/>
          <w:color w:val="44546A"/>
          <w:sz w:val="20"/>
          <w:szCs w:val="20"/>
        </w:rPr>
      </w:pPr>
    </w:p>
    <w:p w14:paraId="563AFCAF" w14:textId="77777777" w:rsidR="0065189F" w:rsidRDefault="0065189F" w:rsidP="006001B0">
      <w:pPr>
        <w:spacing w:after="0" w:line="276" w:lineRule="auto"/>
        <w:rPr>
          <w:rFonts w:ascii="Century Gothic" w:hAnsi="Century Gothic"/>
          <w:b/>
          <w:bCs/>
          <w:color w:val="44546A"/>
          <w:sz w:val="20"/>
          <w:szCs w:val="20"/>
        </w:rPr>
      </w:pPr>
    </w:p>
    <w:p w14:paraId="2FFCA4CF" w14:textId="77777777" w:rsidR="0065189F" w:rsidRDefault="0065189F" w:rsidP="006001B0">
      <w:pPr>
        <w:spacing w:after="0" w:line="276" w:lineRule="auto"/>
        <w:rPr>
          <w:rFonts w:ascii="Century Gothic" w:hAnsi="Century Gothic"/>
          <w:b/>
          <w:bCs/>
          <w:color w:val="44546A"/>
          <w:sz w:val="20"/>
          <w:szCs w:val="20"/>
        </w:rPr>
      </w:pPr>
    </w:p>
    <w:p w14:paraId="0A4B6DDF" w14:textId="77777777" w:rsidR="0065189F" w:rsidRDefault="0065189F" w:rsidP="006001B0">
      <w:pPr>
        <w:spacing w:after="0" w:line="276" w:lineRule="auto"/>
        <w:rPr>
          <w:rFonts w:ascii="Century Gothic" w:hAnsi="Century Gothic"/>
          <w:b/>
          <w:bCs/>
          <w:color w:val="44546A"/>
          <w:sz w:val="20"/>
          <w:szCs w:val="20"/>
        </w:rPr>
      </w:pPr>
    </w:p>
    <w:p w14:paraId="0AC2C13B" w14:textId="77777777" w:rsidR="0065189F" w:rsidRDefault="0065189F" w:rsidP="006001B0">
      <w:pPr>
        <w:spacing w:after="0" w:line="276" w:lineRule="auto"/>
        <w:rPr>
          <w:rFonts w:ascii="Century Gothic" w:hAnsi="Century Gothic"/>
          <w:b/>
          <w:bCs/>
          <w:color w:val="44546A"/>
          <w:sz w:val="20"/>
          <w:szCs w:val="20"/>
        </w:rPr>
      </w:pPr>
    </w:p>
    <w:p w14:paraId="6C7BB744" w14:textId="77777777" w:rsidR="0065189F" w:rsidRDefault="0065189F" w:rsidP="006001B0">
      <w:pPr>
        <w:spacing w:after="0" w:line="276" w:lineRule="auto"/>
        <w:rPr>
          <w:rFonts w:ascii="Century Gothic" w:hAnsi="Century Gothic"/>
          <w:b/>
          <w:bCs/>
          <w:color w:val="44546A"/>
          <w:sz w:val="20"/>
          <w:szCs w:val="20"/>
        </w:rPr>
      </w:pPr>
    </w:p>
    <w:p w14:paraId="6132ACCE" w14:textId="77777777" w:rsidR="0065189F" w:rsidRDefault="0065189F" w:rsidP="006001B0">
      <w:pPr>
        <w:spacing w:after="0" w:line="276" w:lineRule="auto"/>
        <w:rPr>
          <w:rFonts w:ascii="Century Gothic" w:hAnsi="Century Gothic"/>
          <w:b/>
          <w:bCs/>
          <w:color w:val="44546A"/>
          <w:sz w:val="20"/>
          <w:szCs w:val="20"/>
        </w:rPr>
      </w:pPr>
    </w:p>
    <w:p w14:paraId="701C3379" w14:textId="77777777" w:rsidR="0065189F" w:rsidRDefault="0065189F" w:rsidP="006001B0">
      <w:pPr>
        <w:spacing w:after="0" w:line="276" w:lineRule="auto"/>
        <w:rPr>
          <w:rFonts w:ascii="Century Gothic" w:hAnsi="Century Gothic"/>
          <w:b/>
          <w:bCs/>
          <w:color w:val="44546A"/>
          <w:sz w:val="20"/>
          <w:szCs w:val="20"/>
        </w:rPr>
      </w:pPr>
    </w:p>
    <w:p w14:paraId="04EFA498" w14:textId="77777777" w:rsidR="0065189F" w:rsidRDefault="0065189F" w:rsidP="006001B0">
      <w:pPr>
        <w:spacing w:after="0" w:line="276" w:lineRule="auto"/>
        <w:rPr>
          <w:rFonts w:ascii="Century Gothic" w:hAnsi="Century Gothic"/>
          <w:b/>
          <w:bCs/>
          <w:color w:val="44546A"/>
          <w:sz w:val="20"/>
          <w:szCs w:val="20"/>
        </w:rPr>
      </w:pPr>
    </w:p>
    <w:p w14:paraId="788A039A" w14:textId="77777777" w:rsidR="0065189F" w:rsidRDefault="0065189F" w:rsidP="006001B0">
      <w:pPr>
        <w:spacing w:after="0" w:line="276" w:lineRule="auto"/>
        <w:rPr>
          <w:rFonts w:ascii="Century Gothic" w:hAnsi="Century Gothic"/>
          <w:b/>
          <w:bCs/>
          <w:color w:val="44546A"/>
          <w:sz w:val="20"/>
          <w:szCs w:val="20"/>
        </w:rPr>
      </w:pPr>
    </w:p>
    <w:p w14:paraId="61B92779" w14:textId="77777777" w:rsidR="0065189F" w:rsidRDefault="0065189F" w:rsidP="006001B0">
      <w:pPr>
        <w:spacing w:after="0" w:line="276" w:lineRule="auto"/>
        <w:rPr>
          <w:rFonts w:ascii="Century Gothic" w:hAnsi="Century Gothic"/>
          <w:b/>
          <w:bCs/>
          <w:color w:val="44546A"/>
          <w:sz w:val="20"/>
          <w:szCs w:val="20"/>
        </w:rPr>
      </w:pPr>
    </w:p>
    <w:p w14:paraId="172C48F7" w14:textId="77777777" w:rsidR="0065189F" w:rsidRDefault="0065189F" w:rsidP="006001B0">
      <w:pPr>
        <w:spacing w:after="0" w:line="276" w:lineRule="auto"/>
        <w:rPr>
          <w:rFonts w:ascii="Century Gothic" w:hAnsi="Century Gothic"/>
          <w:b/>
          <w:bCs/>
          <w:color w:val="44546A"/>
          <w:sz w:val="20"/>
          <w:szCs w:val="20"/>
        </w:rPr>
      </w:pPr>
    </w:p>
    <w:p w14:paraId="18F7F6D0" w14:textId="77777777" w:rsidR="0065189F" w:rsidRDefault="0065189F" w:rsidP="006001B0">
      <w:pPr>
        <w:spacing w:after="0" w:line="276" w:lineRule="auto"/>
        <w:rPr>
          <w:rFonts w:ascii="Century Gothic" w:hAnsi="Century Gothic"/>
          <w:b/>
          <w:bCs/>
          <w:color w:val="44546A"/>
          <w:sz w:val="20"/>
          <w:szCs w:val="20"/>
        </w:rPr>
      </w:pPr>
    </w:p>
    <w:p w14:paraId="200DB4CF" w14:textId="77777777" w:rsidR="00412703" w:rsidRDefault="00412703" w:rsidP="00311D48">
      <w:pPr>
        <w:spacing w:after="0" w:line="276" w:lineRule="auto"/>
        <w:rPr>
          <w:rFonts w:ascii="Century Gothic" w:hAnsi="Century Gothic"/>
          <w:b/>
          <w:bCs/>
          <w:color w:val="44546A"/>
          <w:sz w:val="20"/>
          <w:szCs w:val="20"/>
        </w:rPr>
      </w:pPr>
    </w:p>
    <w:p w14:paraId="48DE3ACC" w14:textId="77777777" w:rsidR="00412703" w:rsidRDefault="00412703" w:rsidP="00311D48">
      <w:pPr>
        <w:spacing w:after="0" w:line="276" w:lineRule="auto"/>
        <w:rPr>
          <w:rFonts w:ascii="Century Gothic" w:hAnsi="Century Gothic"/>
          <w:b/>
          <w:bCs/>
          <w:color w:val="44546A"/>
          <w:sz w:val="20"/>
          <w:szCs w:val="20"/>
        </w:rPr>
      </w:pPr>
    </w:p>
    <w:p w14:paraId="10827689" w14:textId="77777777" w:rsidR="00412703" w:rsidRDefault="00412703" w:rsidP="00311D48">
      <w:pPr>
        <w:spacing w:after="0" w:line="276" w:lineRule="auto"/>
        <w:rPr>
          <w:rFonts w:ascii="Century Gothic" w:hAnsi="Century Gothic"/>
          <w:b/>
          <w:bCs/>
          <w:color w:val="44546A"/>
          <w:sz w:val="20"/>
          <w:szCs w:val="20"/>
        </w:rPr>
      </w:pPr>
    </w:p>
    <w:p w14:paraId="09A9486E" w14:textId="77777777" w:rsidR="00995709" w:rsidRDefault="00995709" w:rsidP="00311D48">
      <w:pPr>
        <w:spacing w:after="0" w:line="276" w:lineRule="auto"/>
        <w:rPr>
          <w:rFonts w:ascii="Century Gothic" w:hAnsi="Century Gothic"/>
          <w:b/>
          <w:bCs/>
          <w:color w:val="44546A"/>
          <w:sz w:val="20"/>
          <w:szCs w:val="20"/>
        </w:rPr>
      </w:pPr>
    </w:p>
    <w:p w14:paraId="49BDEC3B" w14:textId="77777777" w:rsidR="000F51DD" w:rsidRDefault="000F51DD" w:rsidP="00311D48">
      <w:pPr>
        <w:spacing w:after="0" w:line="276" w:lineRule="auto"/>
        <w:rPr>
          <w:rFonts w:ascii="Century Gothic" w:hAnsi="Century Gothic"/>
          <w:b/>
          <w:bCs/>
          <w:color w:val="44546A"/>
          <w:sz w:val="20"/>
          <w:szCs w:val="20"/>
        </w:rPr>
      </w:pPr>
    </w:p>
    <w:p w14:paraId="4BEAB665" w14:textId="6A6BCD1B" w:rsidR="003E52F6" w:rsidRPr="0065189F" w:rsidRDefault="003E52F6" w:rsidP="0065189F">
      <w:pPr>
        <w:pStyle w:val="Heading2"/>
        <w:numPr>
          <w:ilvl w:val="1"/>
          <w:numId w:val="2"/>
        </w:numPr>
        <w:pBdr>
          <w:bottom w:val="single" w:sz="4" w:space="1" w:color="42AAC2"/>
        </w:pBdr>
        <w:ind w:left="567" w:hanging="567"/>
        <w:rPr>
          <w:rFonts w:ascii="Century Gothic" w:hAnsi="Century Gothic"/>
          <w:b/>
          <w:bCs/>
          <w:color w:val="1F4D78"/>
        </w:rPr>
      </w:pPr>
      <w:bookmarkStart w:id="15" w:name="_Toc491783044"/>
      <w:r w:rsidRPr="0065189F">
        <w:rPr>
          <w:rFonts w:ascii="Century Gothic" w:hAnsi="Century Gothic"/>
          <w:b/>
          <w:bCs/>
          <w:color w:val="1F4D78"/>
        </w:rPr>
        <w:t xml:space="preserve">Changes in the relative share of </w:t>
      </w:r>
      <w:proofErr w:type="spellStart"/>
      <w:proofErr w:type="gramStart"/>
      <w:r w:rsidRPr="0065189F">
        <w:rPr>
          <w:rFonts w:ascii="Century Gothic" w:hAnsi="Century Gothic"/>
          <w:b/>
          <w:bCs/>
          <w:color w:val="1F4D78"/>
        </w:rPr>
        <w:t>te</w:t>
      </w:r>
      <w:proofErr w:type="spellEnd"/>
      <w:proofErr w:type="gramEnd"/>
      <w:r w:rsidRPr="0065189F">
        <w:rPr>
          <w:rFonts w:ascii="Century Gothic" w:hAnsi="Century Gothic"/>
          <w:b/>
          <w:bCs/>
          <w:color w:val="1F4D78"/>
        </w:rPr>
        <w:t xml:space="preserve"> reo Māori speakers</w:t>
      </w:r>
      <w:bookmarkEnd w:id="15"/>
    </w:p>
    <w:p w14:paraId="44E56ECA" w14:textId="77777777" w:rsidR="004607F0" w:rsidRPr="00970999" w:rsidRDefault="004607F0" w:rsidP="004607F0">
      <w:pPr>
        <w:spacing w:after="0" w:line="360" w:lineRule="auto"/>
        <w:rPr>
          <w:rFonts w:ascii="Century Gothic" w:hAnsi="Century Gothic"/>
          <w:sz w:val="21"/>
          <w:szCs w:val="21"/>
        </w:rPr>
      </w:pPr>
    </w:p>
    <w:p w14:paraId="60C13067" w14:textId="1F5918FB" w:rsidR="00AD41A7" w:rsidRPr="00970999" w:rsidRDefault="004607F0" w:rsidP="00B71F68">
      <w:pPr>
        <w:spacing w:after="0" w:line="360" w:lineRule="auto"/>
        <w:rPr>
          <w:rFonts w:ascii="Century Gothic" w:hAnsi="Century Gothic"/>
          <w:sz w:val="21"/>
          <w:szCs w:val="21"/>
        </w:rPr>
      </w:pPr>
      <w:r w:rsidRPr="00970999">
        <w:rPr>
          <w:rFonts w:ascii="Century Gothic" w:hAnsi="Century Gothic"/>
          <w:sz w:val="21"/>
          <w:szCs w:val="21"/>
        </w:rPr>
        <w:t xml:space="preserve">The preceding graphs show </w:t>
      </w:r>
      <w:r w:rsidR="00D473C4" w:rsidRPr="00970999">
        <w:rPr>
          <w:rFonts w:ascii="Century Gothic" w:hAnsi="Century Gothic"/>
          <w:sz w:val="21"/>
          <w:szCs w:val="21"/>
        </w:rPr>
        <w:t>that the</w:t>
      </w:r>
      <w:r w:rsidRPr="00970999">
        <w:rPr>
          <w:rFonts w:ascii="Century Gothic" w:hAnsi="Century Gothic"/>
          <w:sz w:val="21"/>
          <w:szCs w:val="21"/>
        </w:rPr>
        <w:t xml:space="preserve"> number of </w:t>
      </w:r>
      <w:proofErr w:type="spellStart"/>
      <w:proofErr w:type="gramStart"/>
      <w:r w:rsidR="00800906">
        <w:rPr>
          <w:rFonts w:ascii="Century Gothic" w:hAnsi="Century Gothic"/>
          <w:sz w:val="21"/>
          <w:szCs w:val="21"/>
        </w:rPr>
        <w:t>t</w:t>
      </w:r>
      <w:r w:rsidR="000B60A9">
        <w:rPr>
          <w:rFonts w:ascii="Century Gothic" w:hAnsi="Century Gothic"/>
          <w:sz w:val="21"/>
          <w:szCs w:val="21"/>
        </w:rPr>
        <w:t>e</w:t>
      </w:r>
      <w:proofErr w:type="spellEnd"/>
      <w:proofErr w:type="gramEnd"/>
      <w:r w:rsidR="000B60A9">
        <w:rPr>
          <w:rFonts w:ascii="Century Gothic" w:hAnsi="Century Gothic"/>
          <w:sz w:val="21"/>
          <w:szCs w:val="21"/>
        </w:rPr>
        <w:t xml:space="preserve"> reo Māori</w:t>
      </w:r>
      <w:r w:rsidRPr="00970999">
        <w:rPr>
          <w:rFonts w:ascii="Century Gothic" w:hAnsi="Century Gothic"/>
          <w:sz w:val="21"/>
          <w:szCs w:val="21"/>
        </w:rPr>
        <w:t xml:space="preserve"> speakers </w:t>
      </w:r>
      <w:r w:rsidR="00970999" w:rsidRPr="00970999">
        <w:rPr>
          <w:rFonts w:ascii="Century Gothic" w:hAnsi="Century Gothic"/>
          <w:sz w:val="21"/>
          <w:szCs w:val="21"/>
        </w:rPr>
        <w:t>in</w:t>
      </w:r>
      <w:r w:rsidRPr="00970999">
        <w:rPr>
          <w:rFonts w:ascii="Century Gothic" w:hAnsi="Century Gothic"/>
          <w:sz w:val="21"/>
          <w:szCs w:val="21"/>
        </w:rPr>
        <w:t xml:space="preserve"> </w:t>
      </w:r>
      <w:proofErr w:type="spellStart"/>
      <w:r w:rsidRPr="00970999">
        <w:rPr>
          <w:rFonts w:ascii="Century Gothic" w:hAnsi="Century Gothic"/>
          <w:sz w:val="21"/>
          <w:szCs w:val="21"/>
        </w:rPr>
        <w:t>Ngāi</w:t>
      </w:r>
      <w:proofErr w:type="spellEnd"/>
      <w:r w:rsidRPr="00970999">
        <w:rPr>
          <w:rFonts w:ascii="Century Gothic" w:hAnsi="Century Gothic"/>
          <w:sz w:val="21"/>
          <w:szCs w:val="21"/>
        </w:rPr>
        <w:t xml:space="preserve"> </w:t>
      </w:r>
      <w:proofErr w:type="spellStart"/>
      <w:r w:rsidRPr="00970999">
        <w:rPr>
          <w:rFonts w:ascii="Century Gothic" w:hAnsi="Century Gothic"/>
          <w:sz w:val="21"/>
          <w:szCs w:val="21"/>
        </w:rPr>
        <w:t>Tāmanuhiri</w:t>
      </w:r>
      <w:proofErr w:type="spellEnd"/>
      <w:r w:rsidRPr="00970999">
        <w:rPr>
          <w:rFonts w:ascii="Century Gothic" w:hAnsi="Century Gothic"/>
          <w:sz w:val="21"/>
          <w:szCs w:val="21"/>
        </w:rPr>
        <w:t xml:space="preserve"> </w:t>
      </w:r>
      <w:r w:rsidR="00970999" w:rsidRPr="00970999">
        <w:rPr>
          <w:rFonts w:ascii="Century Gothic" w:hAnsi="Century Gothic"/>
          <w:sz w:val="21"/>
          <w:szCs w:val="21"/>
        </w:rPr>
        <w:t>has increased since 20</w:t>
      </w:r>
      <w:r w:rsidR="00245FA7">
        <w:rPr>
          <w:rFonts w:ascii="Century Gothic" w:hAnsi="Century Gothic"/>
          <w:sz w:val="21"/>
          <w:szCs w:val="21"/>
        </w:rPr>
        <w:t>0</w:t>
      </w:r>
      <w:r w:rsidR="00970999" w:rsidRPr="00970999">
        <w:rPr>
          <w:rFonts w:ascii="Century Gothic" w:hAnsi="Century Gothic"/>
          <w:sz w:val="21"/>
          <w:szCs w:val="21"/>
        </w:rPr>
        <w:t>1</w:t>
      </w:r>
      <w:r w:rsidRPr="00970999">
        <w:rPr>
          <w:rFonts w:ascii="Century Gothic" w:hAnsi="Century Gothic"/>
          <w:sz w:val="21"/>
          <w:szCs w:val="21"/>
        </w:rPr>
        <w:t xml:space="preserve">. </w:t>
      </w:r>
      <w:r w:rsidR="00970999" w:rsidRPr="00970999">
        <w:rPr>
          <w:rFonts w:ascii="Century Gothic" w:hAnsi="Century Gothic"/>
          <w:sz w:val="21"/>
          <w:szCs w:val="21"/>
        </w:rPr>
        <w:t>However i</w:t>
      </w:r>
      <w:r w:rsidR="00D473C4" w:rsidRPr="00970999">
        <w:rPr>
          <w:rFonts w:ascii="Century Gothic" w:hAnsi="Century Gothic"/>
          <w:sz w:val="21"/>
          <w:szCs w:val="21"/>
        </w:rPr>
        <w:t xml:space="preserve">t is important to distinguish between the absolute number of </w:t>
      </w:r>
      <w:proofErr w:type="spellStart"/>
      <w:proofErr w:type="gramStart"/>
      <w:r w:rsidR="00800906">
        <w:rPr>
          <w:rFonts w:ascii="Century Gothic" w:hAnsi="Century Gothic"/>
          <w:sz w:val="21"/>
          <w:szCs w:val="21"/>
        </w:rPr>
        <w:t>t</w:t>
      </w:r>
      <w:r w:rsidR="000B60A9">
        <w:rPr>
          <w:rFonts w:ascii="Century Gothic" w:hAnsi="Century Gothic"/>
          <w:sz w:val="21"/>
          <w:szCs w:val="21"/>
        </w:rPr>
        <w:t>e</w:t>
      </w:r>
      <w:proofErr w:type="spellEnd"/>
      <w:proofErr w:type="gramEnd"/>
      <w:r w:rsidR="000B60A9">
        <w:rPr>
          <w:rFonts w:ascii="Century Gothic" w:hAnsi="Century Gothic"/>
          <w:sz w:val="21"/>
          <w:szCs w:val="21"/>
        </w:rPr>
        <w:t xml:space="preserve"> reo Māori</w:t>
      </w:r>
      <w:r w:rsidR="00D473C4" w:rsidRPr="00970999">
        <w:rPr>
          <w:rFonts w:ascii="Century Gothic" w:hAnsi="Century Gothic"/>
          <w:sz w:val="21"/>
          <w:szCs w:val="21"/>
        </w:rPr>
        <w:t xml:space="preserve"> speakers and their relative share</w:t>
      </w:r>
      <w:r w:rsidR="00B71F68">
        <w:rPr>
          <w:rFonts w:ascii="Century Gothic" w:hAnsi="Century Gothic"/>
          <w:sz w:val="21"/>
          <w:szCs w:val="21"/>
        </w:rPr>
        <w:t xml:space="preserve"> within the group</w:t>
      </w:r>
      <w:r w:rsidR="00D473C4" w:rsidRPr="00970999">
        <w:rPr>
          <w:rFonts w:ascii="Century Gothic" w:hAnsi="Century Gothic"/>
          <w:sz w:val="21"/>
          <w:szCs w:val="21"/>
        </w:rPr>
        <w:t xml:space="preserve">. The former indicates </w:t>
      </w:r>
      <w:r w:rsidR="00800906">
        <w:rPr>
          <w:rFonts w:ascii="Century Gothic" w:hAnsi="Century Gothic"/>
          <w:sz w:val="21"/>
          <w:szCs w:val="21"/>
        </w:rPr>
        <w:t xml:space="preserve">the potential ‘supply’ of </w:t>
      </w:r>
      <w:r w:rsidR="00D473C4" w:rsidRPr="00970999">
        <w:rPr>
          <w:rFonts w:ascii="Century Gothic" w:hAnsi="Century Gothic"/>
          <w:sz w:val="21"/>
          <w:szCs w:val="21"/>
        </w:rPr>
        <w:t>speakers</w:t>
      </w:r>
      <w:r w:rsidR="00450D77">
        <w:rPr>
          <w:rFonts w:ascii="Century Gothic" w:hAnsi="Century Gothic"/>
          <w:sz w:val="21"/>
          <w:szCs w:val="21"/>
        </w:rPr>
        <w:t xml:space="preserve"> </w:t>
      </w:r>
      <w:r w:rsidR="00D473C4" w:rsidRPr="00970999">
        <w:rPr>
          <w:rFonts w:ascii="Century Gothic" w:hAnsi="Century Gothic"/>
          <w:sz w:val="21"/>
          <w:szCs w:val="21"/>
        </w:rPr>
        <w:t>—for example, the number of</w:t>
      </w:r>
      <w:r w:rsidR="00877AF2">
        <w:rPr>
          <w:rFonts w:ascii="Century Gothic" w:hAnsi="Century Gothic"/>
          <w:sz w:val="21"/>
          <w:szCs w:val="21"/>
        </w:rPr>
        <w:t xml:space="preserve"> older </w:t>
      </w:r>
      <w:r w:rsidR="00D473C4" w:rsidRPr="00970999">
        <w:rPr>
          <w:rFonts w:ascii="Century Gothic" w:hAnsi="Century Gothic"/>
          <w:sz w:val="21"/>
          <w:szCs w:val="21"/>
        </w:rPr>
        <w:t xml:space="preserve">speakers who could potentially fulfil speaker roles on </w:t>
      </w:r>
      <w:proofErr w:type="spellStart"/>
      <w:r w:rsidR="00D473C4" w:rsidRPr="00970999">
        <w:rPr>
          <w:rFonts w:ascii="Century Gothic" w:hAnsi="Century Gothic"/>
          <w:sz w:val="21"/>
          <w:szCs w:val="21"/>
        </w:rPr>
        <w:t>marae</w:t>
      </w:r>
      <w:proofErr w:type="spellEnd"/>
      <w:r w:rsidR="00D473C4" w:rsidRPr="00970999">
        <w:rPr>
          <w:rFonts w:ascii="Century Gothic" w:hAnsi="Century Gothic"/>
          <w:sz w:val="21"/>
          <w:szCs w:val="21"/>
        </w:rPr>
        <w:t xml:space="preserve">. </w:t>
      </w:r>
      <w:r w:rsidR="00B71F68">
        <w:rPr>
          <w:rFonts w:ascii="Century Gothic" w:hAnsi="Century Gothic"/>
          <w:sz w:val="21"/>
          <w:szCs w:val="21"/>
        </w:rPr>
        <w:t xml:space="preserve">The relative share </w:t>
      </w:r>
      <w:r w:rsidR="00B71F68" w:rsidRPr="00970999">
        <w:rPr>
          <w:rFonts w:ascii="Century Gothic" w:hAnsi="Century Gothic"/>
          <w:sz w:val="21"/>
          <w:szCs w:val="21"/>
        </w:rPr>
        <w:t>provides an indicator of</w:t>
      </w:r>
      <w:r w:rsidR="00B71F68">
        <w:rPr>
          <w:rFonts w:ascii="Century Gothic" w:hAnsi="Century Gothic"/>
          <w:sz w:val="21"/>
          <w:szCs w:val="21"/>
        </w:rPr>
        <w:t xml:space="preserve"> a group’s</w:t>
      </w:r>
      <w:r w:rsidR="00B71F68" w:rsidRPr="00970999">
        <w:rPr>
          <w:rFonts w:ascii="Century Gothic" w:hAnsi="Century Gothic"/>
          <w:sz w:val="21"/>
          <w:szCs w:val="21"/>
        </w:rPr>
        <w:t xml:space="preserve"> </w:t>
      </w:r>
      <w:proofErr w:type="spellStart"/>
      <w:proofErr w:type="gramStart"/>
      <w:r w:rsidR="00495069">
        <w:rPr>
          <w:rFonts w:ascii="Century Gothic" w:hAnsi="Century Gothic"/>
          <w:sz w:val="21"/>
          <w:szCs w:val="21"/>
        </w:rPr>
        <w:t>t</w:t>
      </w:r>
      <w:r w:rsidR="000B60A9">
        <w:rPr>
          <w:rFonts w:ascii="Century Gothic" w:hAnsi="Century Gothic"/>
          <w:sz w:val="21"/>
          <w:szCs w:val="21"/>
        </w:rPr>
        <w:t>e</w:t>
      </w:r>
      <w:proofErr w:type="spellEnd"/>
      <w:proofErr w:type="gramEnd"/>
      <w:r w:rsidR="000B60A9">
        <w:rPr>
          <w:rFonts w:ascii="Century Gothic" w:hAnsi="Century Gothic"/>
          <w:sz w:val="21"/>
          <w:szCs w:val="21"/>
        </w:rPr>
        <w:t xml:space="preserve"> reo Māori</w:t>
      </w:r>
      <w:r w:rsidR="00B71F68" w:rsidRPr="00970999">
        <w:rPr>
          <w:rFonts w:ascii="Century Gothic" w:hAnsi="Century Gothic"/>
          <w:sz w:val="21"/>
          <w:szCs w:val="21"/>
        </w:rPr>
        <w:t xml:space="preserve"> capability</w:t>
      </w:r>
      <w:r w:rsidR="00B71F68">
        <w:rPr>
          <w:rFonts w:ascii="Century Gothic" w:hAnsi="Century Gothic"/>
          <w:sz w:val="21"/>
          <w:szCs w:val="21"/>
        </w:rPr>
        <w:t xml:space="preserve">, regardless of changes in its population </w:t>
      </w:r>
      <w:r w:rsidR="00B71F68" w:rsidRPr="00970999">
        <w:rPr>
          <w:rFonts w:ascii="Century Gothic" w:hAnsi="Century Gothic"/>
          <w:sz w:val="21"/>
          <w:szCs w:val="21"/>
        </w:rPr>
        <w:t>size</w:t>
      </w:r>
      <w:r w:rsidR="00B71F68">
        <w:rPr>
          <w:rFonts w:ascii="Century Gothic" w:hAnsi="Century Gothic"/>
          <w:sz w:val="21"/>
          <w:szCs w:val="21"/>
        </w:rPr>
        <w:t xml:space="preserve"> over time</w:t>
      </w:r>
      <w:r w:rsidR="00B71F68" w:rsidRPr="00970999">
        <w:rPr>
          <w:rFonts w:ascii="Century Gothic" w:hAnsi="Century Gothic"/>
          <w:sz w:val="21"/>
          <w:szCs w:val="21"/>
        </w:rPr>
        <w:t xml:space="preserve">. </w:t>
      </w:r>
      <w:r w:rsidR="00970999" w:rsidRPr="00970999">
        <w:rPr>
          <w:rFonts w:ascii="Century Gothic" w:hAnsi="Century Gothic"/>
          <w:sz w:val="21"/>
          <w:szCs w:val="21"/>
        </w:rPr>
        <w:t>It</w:t>
      </w:r>
      <w:r w:rsidRPr="00970999">
        <w:rPr>
          <w:rFonts w:ascii="Century Gothic" w:hAnsi="Century Gothic"/>
          <w:sz w:val="21"/>
          <w:szCs w:val="21"/>
        </w:rPr>
        <w:t xml:space="preserve"> is entirely possible for the </w:t>
      </w:r>
      <w:r w:rsidRPr="00970999">
        <w:rPr>
          <w:rFonts w:ascii="Century Gothic" w:hAnsi="Century Gothic"/>
          <w:sz w:val="21"/>
          <w:szCs w:val="21"/>
          <w:u w:val="single"/>
        </w:rPr>
        <w:t>number</w:t>
      </w:r>
      <w:r w:rsidRPr="00970999">
        <w:rPr>
          <w:rFonts w:ascii="Century Gothic" w:hAnsi="Century Gothic"/>
          <w:sz w:val="21"/>
          <w:szCs w:val="21"/>
        </w:rPr>
        <w:t xml:space="preserve"> of </w:t>
      </w:r>
      <w:proofErr w:type="spellStart"/>
      <w:proofErr w:type="gramStart"/>
      <w:r w:rsidR="00495069">
        <w:rPr>
          <w:rFonts w:ascii="Century Gothic" w:hAnsi="Century Gothic"/>
          <w:sz w:val="21"/>
          <w:szCs w:val="21"/>
        </w:rPr>
        <w:t>t</w:t>
      </w:r>
      <w:r w:rsidR="000B60A9">
        <w:rPr>
          <w:rFonts w:ascii="Century Gothic" w:hAnsi="Century Gothic"/>
          <w:sz w:val="21"/>
          <w:szCs w:val="21"/>
        </w:rPr>
        <w:t>e</w:t>
      </w:r>
      <w:proofErr w:type="spellEnd"/>
      <w:proofErr w:type="gramEnd"/>
      <w:r w:rsidR="000B60A9">
        <w:rPr>
          <w:rFonts w:ascii="Century Gothic" w:hAnsi="Century Gothic"/>
          <w:sz w:val="21"/>
          <w:szCs w:val="21"/>
        </w:rPr>
        <w:t xml:space="preserve"> reo Māori</w:t>
      </w:r>
      <w:r w:rsidRPr="00970999">
        <w:rPr>
          <w:rFonts w:ascii="Century Gothic" w:hAnsi="Century Gothic"/>
          <w:sz w:val="21"/>
          <w:szCs w:val="21"/>
        </w:rPr>
        <w:t xml:space="preserve"> speakers to </w:t>
      </w:r>
      <w:r w:rsidRPr="00970999">
        <w:rPr>
          <w:rFonts w:ascii="Century Gothic" w:hAnsi="Century Gothic"/>
          <w:sz w:val="21"/>
          <w:szCs w:val="21"/>
          <w:u w:val="single"/>
        </w:rPr>
        <w:t>increase</w:t>
      </w:r>
      <w:r w:rsidRPr="00970999">
        <w:rPr>
          <w:rFonts w:ascii="Century Gothic" w:hAnsi="Century Gothic"/>
          <w:sz w:val="21"/>
          <w:szCs w:val="21"/>
        </w:rPr>
        <w:t xml:space="preserve"> but the </w:t>
      </w:r>
      <w:r w:rsidRPr="00970999">
        <w:rPr>
          <w:rFonts w:ascii="Century Gothic" w:hAnsi="Century Gothic"/>
          <w:sz w:val="21"/>
          <w:szCs w:val="21"/>
          <w:u w:val="single"/>
        </w:rPr>
        <w:t xml:space="preserve">percentage </w:t>
      </w:r>
      <w:r w:rsidRPr="00970999">
        <w:rPr>
          <w:rFonts w:ascii="Century Gothic" w:hAnsi="Century Gothic"/>
          <w:sz w:val="21"/>
          <w:szCs w:val="21"/>
        </w:rPr>
        <w:t xml:space="preserve">of speakers to </w:t>
      </w:r>
      <w:r w:rsidR="00B71F68">
        <w:rPr>
          <w:rFonts w:ascii="Century Gothic" w:hAnsi="Century Gothic"/>
          <w:sz w:val="21"/>
          <w:szCs w:val="21"/>
          <w:u w:val="single"/>
        </w:rPr>
        <w:t>decrease.</w:t>
      </w:r>
      <w:r w:rsidR="00B71F68">
        <w:rPr>
          <w:rFonts w:ascii="Century Gothic" w:hAnsi="Century Gothic"/>
          <w:sz w:val="21"/>
          <w:szCs w:val="21"/>
        </w:rPr>
        <w:t xml:space="preserve"> In</w:t>
      </w:r>
      <w:r w:rsidRPr="00970999">
        <w:rPr>
          <w:rFonts w:ascii="Century Gothic" w:hAnsi="Century Gothic"/>
          <w:sz w:val="21"/>
          <w:szCs w:val="21"/>
        </w:rPr>
        <w:t xml:space="preserve">deed </w:t>
      </w:r>
      <w:r w:rsidR="00AD41A7" w:rsidRPr="00970999">
        <w:rPr>
          <w:rFonts w:ascii="Century Gothic" w:hAnsi="Century Gothic"/>
          <w:sz w:val="21"/>
          <w:szCs w:val="21"/>
        </w:rPr>
        <w:t xml:space="preserve">the share of </w:t>
      </w:r>
      <w:proofErr w:type="spellStart"/>
      <w:proofErr w:type="gramStart"/>
      <w:r w:rsidR="00495069">
        <w:rPr>
          <w:rFonts w:ascii="Century Gothic" w:hAnsi="Century Gothic"/>
          <w:sz w:val="21"/>
          <w:szCs w:val="21"/>
        </w:rPr>
        <w:t>t</w:t>
      </w:r>
      <w:r w:rsidR="000B60A9">
        <w:rPr>
          <w:rFonts w:ascii="Century Gothic" w:hAnsi="Century Gothic"/>
          <w:sz w:val="21"/>
          <w:szCs w:val="21"/>
        </w:rPr>
        <w:t>e</w:t>
      </w:r>
      <w:proofErr w:type="spellEnd"/>
      <w:proofErr w:type="gramEnd"/>
      <w:r w:rsidR="000B60A9">
        <w:rPr>
          <w:rFonts w:ascii="Century Gothic" w:hAnsi="Century Gothic"/>
          <w:sz w:val="21"/>
          <w:szCs w:val="21"/>
        </w:rPr>
        <w:t xml:space="preserve"> reo Māori</w:t>
      </w:r>
      <w:r w:rsidR="00B71F68">
        <w:rPr>
          <w:rFonts w:ascii="Century Gothic" w:hAnsi="Century Gothic"/>
          <w:sz w:val="21"/>
          <w:szCs w:val="21"/>
        </w:rPr>
        <w:t xml:space="preserve"> speakers among </w:t>
      </w:r>
      <w:r w:rsidRPr="00970999">
        <w:rPr>
          <w:rFonts w:ascii="Century Gothic" w:hAnsi="Century Gothic"/>
          <w:sz w:val="21"/>
          <w:szCs w:val="21"/>
        </w:rPr>
        <w:t xml:space="preserve">Māori </w:t>
      </w:r>
      <w:r w:rsidR="00B71F68">
        <w:rPr>
          <w:rFonts w:ascii="Century Gothic" w:hAnsi="Century Gothic"/>
          <w:sz w:val="21"/>
          <w:szCs w:val="21"/>
        </w:rPr>
        <w:t xml:space="preserve">generally has decreased </w:t>
      </w:r>
      <w:r w:rsidR="00AD41A7" w:rsidRPr="00970999">
        <w:rPr>
          <w:rFonts w:ascii="Century Gothic" w:hAnsi="Century Gothic"/>
          <w:sz w:val="21"/>
          <w:szCs w:val="21"/>
        </w:rPr>
        <w:t>every census since 1996</w:t>
      </w:r>
      <w:r w:rsidR="00B71F68">
        <w:rPr>
          <w:rFonts w:ascii="Century Gothic" w:hAnsi="Century Gothic"/>
          <w:sz w:val="21"/>
          <w:szCs w:val="21"/>
        </w:rPr>
        <w:t>. This is</w:t>
      </w:r>
      <w:r w:rsidR="00AD41A7" w:rsidRPr="00970999">
        <w:rPr>
          <w:rFonts w:ascii="Century Gothic" w:hAnsi="Century Gothic"/>
          <w:sz w:val="21"/>
          <w:szCs w:val="21"/>
        </w:rPr>
        <w:t xml:space="preserve"> </w:t>
      </w:r>
      <w:r w:rsidR="00B71F68">
        <w:rPr>
          <w:rFonts w:ascii="Century Gothic" w:hAnsi="Century Gothic"/>
          <w:sz w:val="21"/>
          <w:szCs w:val="21"/>
        </w:rPr>
        <w:t xml:space="preserve">because the number of </w:t>
      </w:r>
      <w:proofErr w:type="spellStart"/>
      <w:proofErr w:type="gramStart"/>
      <w:r w:rsidR="0033288C">
        <w:rPr>
          <w:rFonts w:ascii="Century Gothic" w:hAnsi="Century Gothic"/>
          <w:sz w:val="21"/>
          <w:szCs w:val="21"/>
        </w:rPr>
        <w:t>t</w:t>
      </w:r>
      <w:r w:rsidR="000B60A9">
        <w:rPr>
          <w:rFonts w:ascii="Century Gothic" w:hAnsi="Century Gothic"/>
          <w:sz w:val="21"/>
          <w:szCs w:val="21"/>
        </w:rPr>
        <w:t>e</w:t>
      </w:r>
      <w:proofErr w:type="spellEnd"/>
      <w:proofErr w:type="gramEnd"/>
      <w:r w:rsidR="000B60A9">
        <w:rPr>
          <w:rFonts w:ascii="Century Gothic" w:hAnsi="Century Gothic"/>
          <w:sz w:val="21"/>
          <w:szCs w:val="21"/>
        </w:rPr>
        <w:t xml:space="preserve"> reo Māori</w:t>
      </w:r>
      <w:r w:rsidR="00225ED4">
        <w:rPr>
          <w:rFonts w:ascii="Century Gothic" w:hAnsi="Century Gothic"/>
          <w:sz w:val="21"/>
          <w:szCs w:val="21"/>
        </w:rPr>
        <w:t xml:space="preserve"> speakers has</w:t>
      </w:r>
      <w:r w:rsidR="00B71F68">
        <w:rPr>
          <w:rFonts w:ascii="Century Gothic" w:hAnsi="Century Gothic"/>
          <w:sz w:val="21"/>
          <w:szCs w:val="21"/>
        </w:rPr>
        <w:t xml:space="preserve"> not kept pace with Māori population growth </w:t>
      </w:r>
      <w:r w:rsidR="00AD41A7" w:rsidRPr="00970999">
        <w:rPr>
          <w:rFonts w:ascii="Century Gothic" w:hAnsi="Century Gothic"/>
          <w:sz w:val="21"/>
          <w:szCs w:val="21"/>
        </w:rPr>
        <w:t>(</w:t>
      </w:r>
      <w:proofErr w:type="spellStart"/>
      <w:r w:rsidR="00AD41A7" w:rsidRPr="00970999">
        <w:rPr>
          <w:rFonts w:ascii="Century Gothic" w:hAnsi="Century Gothic"/>
          <w:sz w:val="21"/>
          <w:szCs w:val="21"/>
        </w:rPr>
        <w:t>Kukutai</w:t>
      </w:r>
      <w:proofErr w:type="spellEnd"/>
      <w:r w:rsidR="00AD41A7" w:rsidRPr="00970999">
        <w:rPr>
          <w:rFonts w:ascii="Century Gothic" w:hAnsi="Century Gothic"/>
          <w:sz w:val="21"/>
          <w:szCs w:val="21"/>
        </w:rPr>
        <w:t xml:space="preserve"> &amp; </w:t>
      </w:r>
      <w:proofErr w:type="spellStart"/>
      <w:r w:rsidR="00AD41A7" w:rsidRPr="00970999">
        <w:rPr>
          <w:rFonts w:ascii="Century Gothic" w:hAnsi="Century Gothic"/>
          <w:sz w:val="21"/>
          <w:szCs w:val="21"/>
        </w:rPr>
        <w:t>Rarere</w:t>
      </w:r>
      <w:proofErr w:type="spellEnd"/>
      <w:r w:rsidR="00AD41A7" w:rsidRPr="00970999">
        <w:rPr>
          <w:rFonts w:ascii="Century Gothic" w:hAnsi="Century Gothic"/>
          <w:sz w:val="21"/>
          <w:szCs w:val="21"/>
        </w:rPr>
        <w:t>, 2016).</w:t>
      </w:r>
    </w:p>
    <w:p w14:paraId="132BDE4B" w14:textId="77777777" w:rsidR="00AD41A7" w:rsidRPr="00970999" w:rsidRDefault="00AD41A7" w:rsidP="00AD41A7">
      <w:pPr>
        <w:spacing w:after="0" w:line="360" w:lineRule="auto"/>
        <w:rPr>
          <w:rFonts w:ascii="Century Gothic" w:hAnsi="Century Gothic"/>
          <w:sz w:val="21"/>
          <w:szCs w:val="21"/>
        </w:rPr>
      </w:pPr>
    </w:p>
    <w:p w14:paraId="61CE4419" w14:textId="202B2DF1" w:rsidR="00E010B2" w:rsidRDefault="00B71F68" w:rsidP="00D316E9">
      <w:pPr>
        <w:spacing w:after="0" w:line="360" w:lineRule="auto"/>
        <w:rPr>
          <w:rFonts w:ascii="Century Gothic" w:hAnsi="Century Gothic"/>
          <w:sz w:val="21"/>
          <w:szCs w:val="21"/>
        </w:rPr>
      </w:pPr>
      <w:r>
        <w:rPr>
          <w:rFonts w:ascii="Century Gothic" w:hAnsi="Century Gothic"/>
          <w:sz w:val="21"/>
          <w:szCs w:val="21"/>
        </w:rPr>
        <w:t>Likewise Figure 1.3 shows that w</w:t>
      </w:r>
      <w:r w:rsidR="0051164A">
        <w:rPr>
          <w:rFonts w:ascii="Century Gothic" w:hAnsi="Century Gothic"/>
          <w:sz w:val="21"/>
          <w:szCs w:val="21"/>
        </w:rPr>
        <w:t>hile</w:t>
      </w:r>
      <w:r w:rsidR="00450D77">
        <w:rPr>
          <w:rFonts w:ascii="Century Gothic" w:hAnsi="Century Gothic"/>
          <w:sz w:val="21"/>
          <w:szCs w:val="21"/>
        </w:rPr>
        <w:t xml:space="preserve"> the number of</w:t>
      </w:r>
      <w:r w:rsidR="00450D77" w:rsidRPr="00450D77">
        <w:rPr>
          <w:rFonts w:ascii="Century Gothic" w:hAnsi="Century Gothic"/>
          <w:sz w:val="21"/>
          <w:szCs w:val="21"/>
        </w:rPr>
        <w:t xml:space="preserve"> </w:t>
      </w:r>
      <w:proofErr w:type="spellStart"/>
      <w:r w:rsidR="00450D77" w:rsidRPr="00970999">
        <w:rPr>
          <w:rFonts w:ascii="Century Gothic" w:hAnsi="Century Gothic"/>
          <w:sz w:val="21"/>
          <w:szCs w:val="21"/>
        </w:rPr>
        <w:t>Ngāi</w:t>
      </w:r>
      <w:proofErr w:type="spellEnd"/>
      <w:r w:rsidR="00450D77" w:rsidRPr="00970999">
        <w:rPr>
          <w:rFonts w:ascii="Century Gothic" w:hAnsi="Century Gothic"/>
          <w:sz w:val="21"/>
          <w:szCs w:val="21"/>
        </w:rPr>
        <w:t xml:space="preserve"> </w:t>
      </w:r>
      <w:proofErr w:type="spellStart"/>
      <w:r w:rsidR="00450D77" w:rsidRPr="00970999">
        <w:rPr>
          <w:rFonts w:ascii="Century Gothic" w:hAnsi="Century Gothic"/>
          <w:sz w:val="21"/>
          <w:szCs w:val="21"/>
        </w:rPr>
        <w:t>Tāmanuhiri</w:t>
      </w:r>
      <w:proofErr w:type="spellEnd"/>
      <w:r w:rsidR="00450D77">
        <w:rPr>
          <w:rFonts w:ascii="Century Gothic" w:hAnsi="Century Gothic"/>
          <w:sz w:val="21"/>
          <w:szCs w:val="21"/>
        </w:rPr>
        <w:t xml:space="preserve"> </w:t>
      </w:r>
      <w:proofErr w:type="spellStart"/>
      <w:proofErr w:type="gramStart"/>
      <w:r w:rsidR="004A4F7A">
        <w:rPr>
          <w:rFonts w:ascii="Century Gothic" w:hAnsi="Century Gothic"/>
          <w:sz w:val="21"/>
          <w:szCs w:val="21"/>
        </w:rPr>
        <w:t>t</w:t>
      </w:r>
      <w:r w:rsidR="000B60A9">
        <w:rPr>
          <w:rFonts w:ascii="Century Gothic" w:hAnsi="Century Gothic"/>
          <w:sz w:val="21"/>
          <w:szCs w:val="21"/>
        </w:rPr>
        <w:t>e</w:t>
      </w:r>
      <w:proofErr w:type="spellEnd"/>
      <w:proofErr w:type="gramEnd"/>
      <w:r w:rsidR="000B60A9">
        <w:rPr>
          <w:rFonts w:ascii="Century Gothic" w:hAnsi="Century Gothic"/>
          <w:sz w:val="21"/>
          <w:szCs w:val="21"/>
        </w:rPr>
        <w:t xml:space="preserve"> reo Māori</w:t>
      </w:r>
      <w:r w:rsidR="00450D77">
        <w:rPr>
          <w:rFonts w:ascii="Century Gothic" w:hAnsi="Century Gothic"/>
          <w:sz w:val="21"/>
          <w:szCs w:val="21"/>
        </w:rPr>
        <w:t xml:space="preserve"> speakers increased between 2001 and 2006, the </w:t>
      </w:r>
      <w:r w:rsidR="00AD41A7" w:rsidRPr="00970999">
        <w:rPr>
          <w:rFonts w:ascii="Century Gothic" w:hAnsi="Century Gothic"/>
          <w:sz w:val="21"/>
          <w:szCs w:val="21"/>
        </w:rPr>
        <w:t xml:space="preserve">percentage of </w:t>
      </w:r>
      <w:proofErr w:type="spellStart"/>
      <w:r w:rsidR="000F51DD">
        <w:rPr>
          <w:rFonts w:ascii="Century Gothic" w:hAnsi="Century Gothic"/>
          <w:sz w:val="21"/>
          <w:szCs w:val="21"/>
        </w:rPr>
        <w:t>t</w:t>
      </w:r>
      <w:r w:rsidR="000B60A9">
        <w:rPr>
          <w:rFonts w:ascii="Century Gothic" w:hAnsi="Century Gothic"/>
          <w:sz w:val="21"/>
          <w:szCs w:val="21"/>
        </w:rPr>
        <w:t>e</w:t>
      </w:r>
      <w:proofErr w:type="spellEnd"/>
      <w:r w:rsidR="000B60A9">
        <w:rPr>
          <w:rFonts w:ascii="Century Gothic" w:hAnsi="Century Gothic"/>
          <w:sz w:val="21"/>
          <w:szCs w:val="21"/>
        </w:rPr>
        <w:t xml:space="preserve"> reo Māori</w:t>
      </w:r>
      <w:r w:rsidR="00AD41A7" w:rsidRPr="00970999">
        <w:rPr>
          <w:rFonts w:ascii="Century Gothic" w:hAnsi="Century Gothic"/>
          <w:sz w:val="21"/>
          <w:szCs w:val="21"/>
        </w:rPr>
        <w:t xml:space="preserve"> speakers decreased </w:t>
      </w:r>
      <w:r w:rsidR="00450D77">
        <w:rPr>
          <w:rFonts w:ascii="Century Gothic" w:hAnsi="Century Gothic"/>
          <w:sz w:val="21"/>
          <w:szCs w:val="21"/>
        </w:rPr>
        <w:t xml:space="preserve">slightly </w:t>
      </w:r>
      <w:r w:rsidR="00AD41A7" w:rsidRPr="00970999">
        <w:rPr>
          <w:rFonts w:ascii="Century Gothic" w:hAnsi="Century Gothic"/>
          <w:sz w:val="21"/>
          <w:szCs w:val="21"/>
        </w:rPr>
        <w:lastRenderedPageBreak/>
        <w:t>from 46 to 42.</w:t>
      </w:r>
      <w:r w:rsidR="00450D77">
        <w:rPr>
          <w:rFonts w:ascii="Century Gothic" w:hAnsi="Century Gothic"/>
          <w:sz w:val="21"/>
          <w:szCs w:val="21"/>
        </w:rPr>
        <w:t>9 per cent</w:t>
      </w:r>
      <w:r>
        <w:rPr>
          <w:rFonts w:ascii="Century Gothic" w:hAnsi="Century Gothic"/>
          <w:sz w:val="21"/>
          <w:szCs w:val="21"/>
        </w:rPr>
        <w:t>.</w:t>
      </w:r>
      <w:r w:rsidR="00450D77">
        <w:rPr>
          <w:rFonts w:ascii="Century Gothic" w:hAnsi="Century Gothic"/>
          <w:sz w:val="21"/>
          <w:szCs w:val="21"/>
        </w:rPr>
        <w:t xml:space="preserve"> </w:t>
      </w:r>
      <w:r w:rsidR="00AD41A7" w:rsidRPr="00970999">
        <w:rPr>
          <w:rFonts w:ascii="Century Gothic" w:hAnsi="Century Gothic"/>
          <w:sz w:val="21"/>
          <w:szCs w:val="21"/>
        </w:rPr>
        <w:t xml:space="preserve">This is because the growth of </w:t>
      </w:r>
      <w:proofErr w:type="spellStart"/>
      <w:proofErr w:type="gramStart"/>
      <w:r w:rsidR="000F51DD">
        <w:rPr>
          <w:rFonts w:ascii="Century Gothic" w:hAnsi="Century Gothic"/>
          <w:sz w:val="21"/>
          <w:szCs w:val="21"/>
        </w:rPr>
        <w:t>t</w:t>
      </w:r>
      <w:r w:rsidR="000B60A9">
        <w:rPr>
          <w:rFonts w:ascii="Century Gothic" w:hAnsi="Century Gothic"/>
          <w:sz w:val="21"/>
          <w:szCs w:val="21"/>
        </w:rPr>
        <w:t>e</w:t>
      </w:r>
      <w:proofErr w:type="spellEnd"/>
      <w:proofErr w:type="gramEnd"/>
      <w:r w:rsidR="000B60A9">
        <w:rPr>
          <w:rFonts w:ascii="Century Gothic" w:hAnsi="Century Gothic"/>
          <w:sz w:val="21"/>
          <w:szCs w:val="21"/>
        </w:rPr>
        <w:t xml:space="preserve"> reo Māori</w:t>
      </w:r>
      <w:r w:rsidR="00AD41A7" w:rsidRPr="00970999">
        <w:rPr>
          <w:rFonts w:ascii="Century Gothic" w:hAnsi="Century Gothic"/>
          <w:sz w:val="21"/>
          <w:szCs w:val="21"/>
        </w:rPr>
        <w:t xml:space="preserve"> speakers did not match the growth in the </w:t>
      </w:r>
      <w:proofErr w:type="spellStart"/>
      <w:r>
        <w:rPr>
          <w:rFonts w:ascii="Century Gothic" w:hAnsi="Century Gothic"/>
          <w:sz w:val="21"/>
          <w:szCs w:val="21"/>
        </w:rPr>
        <w:t>Ngāi</w:t>
      </w:r>
      <w:proofErr w:type="spellEnd"/>
      <w:r>
        <w:rPr>
          <w:rFonts w:ascii="Century Gothic" w:hAnsi="Century Gothic"/>
          <w:sz w:val="21"/>
          <w:szCs w:val="21"/>
        </w:rPr>
        <w:t xml:space="preserve"> </w:t>
      </w:r>
      <w:proofErr w:type="spellStart"/>
      <w:r>
        <w:rPr>
          <w:rFonts w:ascii="Century Gothic" w:hAnsi="Century Gothic"/>
          <w:sz w:val="21"/>
          <w:szCs w:val="21"/>
        </w:rPr>
        <w:t>Tāmanuhiri</w:t>
      </w:r>
      <w:proofErr w:type="spellEnd"/>
      <w:r w:rsidR="00AD41A7" w:rsidRPr="00970999">
        <w:rPr>
          <w:rFonts w:ascii="Century Gothic" w:hAnsi="Century Gothic"/>
          <w:sz w:val="21"/>
          <w:szCs w:val="21"/>
        </w:rPr>
        <w:t xml:space="preserve"> population. </w:t>
      </w:r>
      <w:r>
        <w:rPr>
          <w:rFonts w:ascii="Century Gothic" w:hAnsi="Century Gothic"/>
          <w:sz w:val="21"/>
          <w:szCs w:val="21"/>
        </w:rPr>
        <w:t>In 2013 t</w:t>
      </w:r>
      <w:r w:rsidR="00AD41A7" w:rsidRPr="00970999">
        <w:rPr>
          <w:rFonts w:ascii="Century Gothic" w:hAnsi="Century Gothic"/>
          <w:sz w:val="21"/>
          <w:szCs w:val="21"/>
        </w:rPr>
        <w:t xml:space="preserve">he </w:t>
      </w:r>
      <w:r>
        <w:rPr>
          <w:rFonts w:ascii="Century Gothic" w:hAnsi="Century Gothic"/>
          <w:sz w:val="21"/>
          <w:szCs w:val="21"/>
        </w:rPr>
        <w:t xml:space="preserve">relative </w:t>
      </w:r>
      <w:r w:rsidR="00AD41A7" w:rsidRPr="00970999">
        <w:rPr>
          <w:rFonts w:ascii="Century Gothic" w:hAnsi="Century Gothic"/>
          <w:sz w:val="21"/>
          <w:szCs w:val="21"/>
        </w:rPr>
        <w:t>share of speakers only dropped very slightly to 42.6 per ce</w:t>
      </w:r>
      <w:r w:rsidR="003532A6">
        <w:rPr>
          <w:rFonts w:ascii="Century Gothic" w:hAnsi="Century Gothic"/>
          <w:sz w:val="21"/>
          <w:szCs w:val="21"/>
        </w:rPr>
        <w:t>nt, and was lower for males (41.2 per cent) than for females (44.2 per cent).</w:t>
      </w:r>
      <w:r w:rsidR="00DA1FE0">
        <w:rPr>
          <w:rFonts w:ascii="Century Gothic" w:hAnsi="Century Gothic"/>
          <w:sz w:val="21"/>
          <w:szCs w:val="21"/>
        </w:rPr>
        <w:t xml:space="preserve"> </w:t>
      </w:r>
      <w:r w:rsidR="00741D1E">
        <w:rPr>
          <w:rFonts w:ascii="Century Gothic" w:hAnsi="Century Gothic"/>
          <w:sz w:val="21"/>
          <w:szCs w:val="21"/>
        </w:rPr>
        <w:t xml:space="preserve"> In the next section we show</w:t>
      </w:r>
      <w:r w:rsidR="00DA1FE0">
        <w:rPr>
          <w:rFonts w:ascii="Century Gothic" w:hAnsi="Century Gothic"/>
          <w:sz w:val="21"/>
          <w:szCs w:val="21"/>
        </w:rPr>
        <w:t xml:space="preserve"> </w:t>
      </w:r>
      <w:r w:rsidR="00741D1E">
        <w:rPr>
          <w:rFonts w:ascii="Century Gothic" w:hAnsi="Century Gothic"/>
          <w:sz w:val="21"/>
          <w:szCs w:val="21"/>
        </w:rPr>
        <w:t>that, despite this decline</w:t>
      </w:r>
      <w:r w:rsidR="00DA1FE0">
        <w:rPr>
          <w:rFonts w:ascii="Century Gothic" w:hAnsi="Century Gothic"/>
          <w:sz w:val="21"/>
          <w:szCs w:val="21"/>
        </w:rPr>
        <w:t xml:space="preserve">, the share of </w:t>
      </w:r>
      <w:proofErr w:type="spellStart"/>
      <w:proofErr w:type="gramStart"/>
      <w:r w:rsidR="00D316E9">
        <w:rPr>
          <w:rFonts w:ascii="Century Gothic" w:hAnsi="Century Gothic"/>
          <w:sz w:val="21"/>
          <w:szCs w:val="21"/>
        </w:rPr>
        <w:t>t</w:t>
      </w:r>
      <w:r w:rsidR="000B60A9">
        <w:rPr>
          <w:rFonts w:ascii="Century Gothic" w:hAnsi="Century Gothic"/>
          <w:sz w:val="21"/>
          <w:szCs w:val="21"/>
        </w:rPr>
        <w:t>e</w:t>
      </w:r>
      <w:proofErr w:type="spellEnd"/>
      <w:proofErr w:type="gramEnd"/>
      <w:r w:rsidR="000B60A9">
        <w:rPr>
          <w:rFonts w:ascii="Century Gothic" w:hAnsi="Century Gothic"/>
          <w:sz w:val="21"/>
          <w:szCs w:val="21"/>
        </w:rPr>
        <w:t xml:space="preserve"> reo Māori</w:t>
      </w:r>
      <w:r w:rsidR="00DA1FE0">
        <w:rPr>
          <w:rFonts w:ascii="Century Gothic" w:hAnsi="Century Gothic"/>
          <w:sz w:val="21"/>
          <w:szCs w:val="21"/>
        </w:rPr>
        <w:t xml:space="preserve"> speakers within </w:t>
      </w:r>
      <w:proofErr w:type="spellStart"/>
      <w:r w:rsidR="00DA1FE0">
        <w:rPr>
          <w:rFonts w:ascii="Century Gothic" w:hAnsi="Century Gothic"/>
          <w:sz w:val="21"/>
          <w:szCs w:val="21"/>
        </w:rPr>
        <w:t>Ngāi</w:t>
      </w:r>
      <w:proofErr w:type="spellEnd"/>
      <w:r w:rsidR="00DA1FE0">
        <w:rPr>
          <w:rFonts w:ascii="Century Gothic" w:hAnsi="Century Gothic"/>
          <w:sz w:val="21"/>
          <w:szCs w:val="21"/>
        </w:rPr>
        <w:t xml:space="preserve"> </w:t>
      </w:r>
      <w:proofErr w:type="spellStart"/>
      <w:r w:rsidR="00DA1FE0">
        <w:rPr>
          <w:rFonts w:ascii="Century Gothic" w:hAnsi="Century Gothic"/>
          <w:sz w:val="21"/>
          <w:szCs w:val="21"/>
        </w:rPr>
        <w:t>Tāmanuhiri</w:t>
      </w:r>
      <w:proofErr w:type="spellEnd"/>
      <w:r w:rsidR="00DA1FE0">
        <w:rPr>
          <w:rFonts w:ascii="Century Gothic" w:hAnsi="Century Gothic"/>
          <w:sz w:val="21"/>
          <w:szCs w:val="21"/>
        </w:rPr>
        <w:t xml:space="preserve"> is </w:t>
      </w:r>
      <w:r w:rsidR="00741D1E">
        <w:rPr>
          <w:rFonts w:ascii="Century Gothic" w:hAnsi="Century Gothic"/>
          <w:sz w:val="21"/>
          <w:szCs w:val="21"/>
        </w:rPr>
        <w:t xml:space="preserve">still </w:t>
      </w:r>
      <w:r w:rsidR="00DA1FE0">
        <w:rPr>
          <w:rFonts w:ascii="Century Gothic" w:hAnsi="Century Gothic"/>
          <w:sz w:val="21"/>
          <w:szCs w:val="21"/>
        </w:rPr>
        <w:t xml:space="preserve">much higher than </w:t>
      </w:r>
      <w:r w:rsidR="000E288C">
        <w:rPr>
          <w:rFonts w:ascii="Century Gothic" w:hAnsi="Century Gothic"/>
          <w:sz w:val="21"/>
          <w:szCs w:val="21"/>
        </w:rPr>
        <w:t xml:space="preserve">that </w:t>
      </w:r>
      <w:r w:rsidR="00741D1E">
        <w:rPr>
          <w:rFonts w:ascii="Century Gothic" w:hAnsi="Century Gothic"/>
          <w:sz w:val="21"/>
          <w:szCs w:val="21"/>
        </w:rPr>
        <w:t xml:space="preserve">for </w:t>
      </w:r>
      <w:r w:rsidR="00DA1FE0">
        <w:rPr>
          <w:rFonts w:ascii="Century Gothic" w:hAnsi="Century Gothic"/>
          <w:sz w:val="21"/>
          <w:szCs w:val="21"/>
        </w:rPr>
        <w:t>most iwi</w:t>
      </w:r>
      <w:r w:rsidR="00D316E9">
        <w:rPr>
          <w:rFonts w:ascii="Century Gothic" w:hAnsi="Century Gothic"/>
          <w:sz w:val="21"/>
          <w:szCs w:val="21"/>
        </w:rPr>
        <w:t>.</w:t>
      </w:r>
      <w:r w:rsidR="00DA1FE0">
        <w:rPr>
          <w:rFonts w:ascii="Century Gothic" w:hAnsi="Century Gothic"/>
          <w:sz w:val="21"/>
          <w:szCs w:val="21"/>
        </w:rPr>
        <w:t xml:space="preserve"> </w:t>
      </w:r>
      <w:r w:rsidR="00D316E9">
        <w:rPr>
          <w:rFonts w:ascii="Century Gothic" w:hAnsi="Century Gothic"/>
          <w:sz w:val="21"/>
          <w:szCs w:val="21"/>
        </w:rPr>
        <w:t xml:space="preserve"> </w:t>
      </w:r>
      <w:r w:rsidR="00E010B2">
        <w:rPr>
          <w:rFonts w:ascii="Century Gothic" w:hAnsi="Century Gothic"/>
          <w:sz w:val="21"/>
          <w:szCs w:val="21"/>
        </w:rPr>
        <w:t>In the 2013 c</w:t>
      </w:r>
      <w:r w:rsidR="00E010B2" w:rsidRPr="00877AF2">
        <w:rPr>
          <w:rFonts w:ascii="Century Gothic" w:hAnsi="Century Gothic"/>
          <w:sz w:val="21"/>
          <w:szCs w:val="21"/>
        </w:rPr>
        <w:t xml:space="preserve">ensus </w:t>
      </w:r>
      <w:r w:rsidR="00E010B2">
        <w:rPr>
          <w:rFonts w:ascii="Century Gothic" w:hAnsi="Century Gothic"/>
          <w:sz w:val="21"/>
          <w:szCs w:val="21"/>
        </w:rPr>
        <w:t>only two iwi</w:t>
      </w:r>
      <w:r w:rsidR="00D316E9">
        <w:rPr>
          <w:rFonts w:ascii="Century Gothic" w:hAnsi="Century Gothic"/>
          <w:sz w:val="21"/>
          <w:szCs w:val="21"/>
        </w:rPr>
        <w:t xml:space="preserve"> (out of 120-plus) had a </w:t>
      </w:r>
      <w:r w:rsidR="00E010B2">
        <w:rPr>
          <w:rFonts w:ascii="Century Gothic" w:hAnsi="Century Gothic"/>
          <w:sz w:val="21"/>
          <w:szCs w:val="21"/>
        </w:rPr>
        <w:t xml:space="preserve">larger share of </w:t>
      </w:r>
      <w:proofErr w:type="spellStart"/>
      <w:proofErr w:type="gramStart"/>
      <w:r w:rsidR="00E010B2">
        <w:rPr>
          <w:rFonts w:ascii="Century Gothic" w:hAnsi="Century Gothic"/>
          <w:sz w:val="21"/>
          <w:szCs w:val="21"/>
        </w:rPr>
        <w:t>te</w:t>
      </w:r>
      <w:proofErr w:type="spellEnd"/>
      <w:proofErr w:type="gramEnd"/>
      <w:r w:rsidR="00E010B2">
        <w:rPr>
          <w:rFonts w:ascii="Century Gothic" w:hAnsi="Century Gothic"/>
          <w:sz w:val="21"/>
          <w:szCs w:val="21"/>
        </w:rPr>
        <w:t xml:space="preserve"> reo Māori speakers than</w:t>
      </w:r>
      <w:r w:rsidR="00D316E9">
        <w:rPr>
          <w:rFonts w:ascii="Century Gothic" w:hAnsi="Century Gothic"/>
          <w:sz w:val="21"/>
          <w:szCs w:val="21"/>
        </w:rPr>
        <w:t xml:space="preserve"> </w:t>
      </w:r>
      <w:proofErr w:type="spellStart"/>
      <w:r w:rsidR="00D316E9">
        <w:rPr>
          <w:rFonts w:ascii="Century Gothic" w:hAnsi="Century Gothic"/>
          <w:sz w:val="21"/>
          <w:szCs w:val="21"/>
        </w:rPr>
        <w:t>Ngāi</w:t>
      </w:r>
      <w:proofErr w:type="spellEnd"/>
      <w:r w:rsidR="00D316E9">
        <w:rPr>
          <w:rFonts w:ascii="Century Gothic" w:hAnsi="Century Gothic"/>
          <w:sz w:val="21"/>
          <w:szCs w:val="21"/>
        </w:rPr>
        <w:t xml:space="preserve"> </w:t>
      </w:r>
      <w:proofErr w:type="spellStart"/>
      <w:r w:rsidR="00D316E9">
        <w:rPr>
          <w:rFonts w:ascii="Century Gothic" w:hAnsi="Century Gothic"/>
          <w:sz w:val="21"/>
          <w:szCs w:val="21"/>
        </w:rPr>
        <w:t>Tāmanuhiri</w:t>
      </w:r>
      <w:proofErr w:type="spellEnd"/>
      <w:r w:rsidR="00D316E9">
        <w:rPr>
          <w:rFonts w:ascii="Century Gothic" w:hAnsi="Century Gothic"/>
          <w:sz w:val="21"/>
          <w:szCs w:val="21"/>
        </w:rPr>
        <w:t xml:space="preserve">. </w:t>
      </w:r>
      <w:proofErr w:type="spellStart"/>
      <w:r w:rsidR="00E010B2" w:rsidRPr="00877AF2">
        <w:rPr>
          <w:rFonts w:ascii="Century Gothic" w:hAnsi="Century Gothic"/>
          <w:sz w:val="21"/>
          <w:szCs w:val="21"/>
        </w:rPr>
        <w:t>Ngāti</w:t>
      </w:r>
      <w:proofErr w:type="spellEnd"/>
      <w:r w:rsidR="00E010B2" w:rsidRPr="00877AF2">
        <w:rPr>
          <w:rFonts w:ascii="Century Gothic" w:hAnsi="Century Gothic"/>
          <w:sz w:val="21"/>
          <w:szCs w:val="21"/>
        </w:rPr>
        <w:t xml:space="preserve"> </w:t>
      </w:r>
      <w:proofErr w:type="spellStart"/>
      <w:r w:rsidR="00E010B2" w:rsidRPr="00877AF2">
        <w:rPr>
          <w:rFonts w:ascii="Century Gothic" w:hAnsi="Century Gothic"/>
          <w:sz w:val="21"/>
          <w:szCs w:val="21"/>
        </w:rPr>
        <w:t>Whare</w:t>
      </w:r>
      <w:proofErr w:type="spellEnd"/>
      <w:r w:rsidR="00E010B2" w:rsidRPr="00877AF2">
        <w:rPr>
          <w:rFonts w:ascii="Century Gothic" w:hAnsi="Century Gothic"/>
          <w:sz w:val="21"/>
          <w:szCs w:val="21"/>
        </w:rPr>
        <w:t xml:space="preserve"> had 43.3 per cent </w:t>
      </w:r>
      <w:proofErr w:type="spellStart"/>
      <w:proofErr w:type="gramStart"/>
      <w:r w:rsidR="00E010B2">
        <w:rPr>
          <w:rFonts w:ascii="Century Gothic" w:hAnsi="Century Gothic"/>
          <w:sz w:val="21"/>
          <w:szCs w:val="21"/>
        </w:rPr>
        <w:t>te</w:t>
      </w:r>
      <w:proofErr w:type="spellEnd"/>
      <w:proofErr w:type="gramEnd"/>
      <w:r w:rsidR="00E010B2">
        <w:rPr>
          <w:rFonts w:ascii="Century Gothic" w:hAnsi="Century Gothic"/>
          <w:sz w:val="21"/>
          <w:szCs w:val="21"/>
        </w:rPr>
        <w:t xml:space="preserve"> reo Māori</w:t>
      </w:r>
      <w:r w:rsidR="00E010B2" w:rsidRPr="00877AF2">
        <w:rPr>
          <w:rFonts w:ascii="Century Gothic" w:hAnsi="Century Gothic"/>
          <w:sz w:val="21"/>
          <w:szCs w:val="21"/>
        </w:rPr>
        <w:t xml:space="preserve"> speakers (n=531), and </w:t>
      </w:r>
      <w:proofErr w:type="spellStart"/>
      <w:r w:rsidR="00E010B2" w:rsidRPr="00877AF2">
        <w:rPr>
          <w:rFonts w:ascii="Century Gothic" w:hAnsi="Century Gothic"/>
          <w:sz w:val="21"/>
          <w:szCs w:val="21"/>
        </w:rPr>
        <w:t>Tarawhai</w:t>
      </w:r>
      <w:proofErr w:type="spellEnd"/>
      <w:r w:rsidR="00E010B2" w:rsidRPr="00877AF2">
        <w:rPr>
          <w:rFonts w:ascii="Century Gothic" w:hAnsi="Century Gothic"/>
          <w:sz w:val="21"/>
          <w:szCs w:val="21"/>
        </w:rPr>
        <w:t xml:space="preserve"> (</w:t>
      </w:r>
      <w:proofErr w:type="spellStart"/>
      <w:r w:rsidR="00E010B2" w:rsidRPr="00877AF2">
        <w:rPr>
          <w:rFonts w:ascii="Century Gothic" w:hAnsi="Century Gothic"/>
          <w:sz w:val="21"/>
          <w:szCs w:val="21"/>
        </w:rPr>
        <w:t>Te</w:t>
      </w:r>
      <w:proofErr w:type="spellEnd"/>
      <w:r w:rsidR="00E010B2" w:rsidRPr="00877AF2">
        <w:rPr>
          <w:rFonts w:ascii="Century Gothic" w:hAnsi="Century Gothic"/>
          <w:sz w:val="21"/>
          <w:szCs w:val="21"/>
        </w:rPr>
        <w:t xml:space="preserve"> </w:t>
      </w:r>
      <w:proofErr w:type="spellStart"/>
      <w:r w:rsidR="00E010B2" w:rsidRPr="00877AF2">
        <w:rPr>
          <w:rFonts w:ascii="Century Gothic" w:hAnsi="Century Gothic"/>
          <w:sz w:val="21"/>
          <w:szCs w:val="21"/>
        </w:rPr>
        <w:t>Arawa</w:t>
      </w:r>
      <w:proofErr w:type="spellEnd"/>
      <w:r w:rsidR="00E010B2" w:rsidRPr="00877AF2">
        <w:rPr>
          <w:rFonts w:ascii="Century Gothic" w:hAnsi="Century Gothic"/>
          <w:sz w:val="21"/>
          <w:szCs w:val="21"/>
        </w:rPr>
        <w:t xml:space="preserve">) had 57 per cent speakers although the </w:t>
      </w:r>
      <w:r w:rsidR="00E010B2">
        <w:rPr>
          <w:rFonts w:ascii="Century Gothic" w:hAnsi="Century Gothic"/>
          <w:sz w:val="21"/>
          <w:szCs w:val="21"/>
        </w:rPr>
        <w:t xml:space="preserve">absolute </w:t>
      </w:r>
      <w:r w:rsidR="00E010B2" w:rsidRPr="00877AF2">
        <w:rPr>
          <w:rFonts w:ascii="Century Gothic" w:hAnsi="Century Gothic"/>
          <w:sz w:val="21"/>
          <w:szCs w:val="21"/>
        </w:rPr>
        <w:t>number was very small (n=159).</w:t>
      </w:r>
      <w:r w:rsidR="00E010B2">
        <w:rPr>
          <w:rStyle w:val="FootnoteReference"/>
          <w:rFonts w:ascii="Century Gothic" w:hAnsi="Century Gothic"/>
          <w:sz w:val="21"/>
          <w:szCs w:val="21"/>
        </w:rPr>
        <w:footnoteReference w:id="7"/>
      </w:r>
      <w:r w:rsidR="00E010B2" w:rsidRPr="00877AF2">
        <w:rPr>
          <w:rFonts w:ascii="Century Gothic" w:hAnsi="Century Gothic"/>
          <w:sz w:val="21"/>
          <w:szCs w:val="21"/>
        </w:rPr>
        <w:t xml:space="preserve"> </w:t>
      </w:r>
      <w:r w:rsidR="00E010B2">
        <w:rPr>
          <w:rFonts w:ascii="Century Gothic" w:hAnsi="Century Gothic"/>
          <w:sz w:val="21"/>
          <w:szCs w:val="21"/>
        </w:rPr>
        <w:t xml:space="preserve"> It is clear that</w:t>
      </w:r>
      <w:r w:rsidR="00E010B2" w:rsidRPr="00877AF2">
        <w:rPr>
          <w:rFonts w:ascii="Century Gothic" w:hAnsi="Century Gothic"/>
          <w:sz w:val="21"/>
          <w:szCs w:val="21"/>
        </w:rPr>
        <w:t xml:space="preserve"> </w:t>
      </w:r>
      <w:proofErr w:type="spellStart"/>
      <w:r w:rsidR="00E010B2" w:rsidRPr="00877AF2">
        <w:rPr>
          <w:rFonts w:ascii="Century Gothic" w:hAnsi="Century Gothic"/>
          <w:sz w:val="21"/>
          <w:szCs w:val="21"/>
        </w:rPr>
        <w:t>Ngāi</w:t>
      </w:r>
      <w:proofErr w:type="spellEnd"/>
      <w:r w:rsidR="00E010B2" w:rsidRPr="00877AF2">
        <w:rPr>
          <w:rFonts w:ascii="Century Gothic" w:hAnsi="Century Gothic"/>
          <w:sz w:val="21"/>
          <w:szCs w:val="21"/>
        </w:rPr>
        <w:t xml:space="preserve"> </w:t>
      </w:r>
      <w:proofErr w:type="spellStart"/>
      <w:r w:rsidR="00E010B2" w:rsidRPr="00877AF2">
        <w:rPr>
          <w:rFonts w:ascii="Century Gothic" w:hAnsi="Century Gothic"/>
          <w:sz w:val="21"/>
          <w:szCs w:val="21"/>
        </w:rPr>
        <w:t>Tāmanuhiri</w:t>
      </w:r>
      <w:proofErr w:type="spellEnd"/>
      <w:r w:rsidR="00E010B2" w:rsidRPr="00877AF2">
        <w:rPr>
          <w:rFonts w:ascii="Century Gothic" w:hAnsi="Century Gothic"/>
          <w:sz w:val="21"/>
          <w:szCs w:val="21"/>
        </w:rPr>
        <w:t xml:space="preserve"> has substantial strength and vitality in </w:t>
      </w:r>
      <w:proofErr w:type="spellStart"/>
      <w:proofErr w:type="gramStart"/>
      <w:r w:rsidR="0033288C">
        <w:rPr>
          <w:rFonts w:ascii="Century Gothic" w:hAnsi="Century Gothic"/>
          <w:sz w:val="21"/>
          <w:szCs w:val="21"/>
        </w:rPr>
        <w:t>t</w:t>
      </w:r>
      <w:r w:rsidR="00E010B2">
        <w:rPr>
          <w:rFonts w:ascii="Century Gothic" w:hAnsi="Century Gothic"/>
          <w:sz w:val="21"/>
          <w:szCs w:val="21"/>
        </w:rPr>
        <w:t>e</w:t>
      </w:r>
      <w:proofErr w:type="spellEnd"/>
      <w:proofErr w:type="gramEnd"/>
      <w:r w:rsidR="00E010B2">
        <w:rPr>
          <w:rFonts w:ascii="Century Gothic" w:hAnsi="Century Gothic"/>
          <w:sz w:val="21"/>
          <w:szCs w:val="21"/>
        </w:rPr>
        <w:t xml:space="preserve"> reo Māori. </w:t>
      </w:r>
    </w:p>
    <w:p w14:paraId="0B20C280" w14:textId="77777777" w:rsidR="004607F0" w:rsidRDefault="004607F0" w:rsidP="00D752F0">
      <w:pPr>
        <w:spacing w:after="0" w:line="360" w:lineRule="auto"/>
        <w:rPr>
          <w:rFonts w:ascii="Century Gothic" w:hAnsi="Century Gothic"/>
          <w:b/>
          <w:bCs/>
          <w:color w:val="44546A"/>
          <w:sz w:val="20"/>
          <w:szCs w:val="20"/>
        </w:rPr>
      </w:pPr>
    </w:p>
    <w:p w14:paraId="1093816E" w14:textId="545164C5" w:rsidR="00311D48" w:rsidRPr="00DF212D" w:rsidRDefault="00311D48" w:rsidP="00C31C69">
      <w:pPr>
        <w:spacing w:after="0" w:line="276" w:lineRule="auto"/>
        <w:rPr>
          <w:rFonts w:ascii="Century Gothic" w:eastAsiaTheme="majorEastAsia" w:hAnsi="Century Gothic" w:cstheme="majorBidi"/>
          <w:b/>
          <w:bCs/>
          <w:color w:val="4EAFC6"/>
          <w:sz w:val="21"/>
          <w:szCs w:val="21"/>
          <w:lang w:eastAsia="en-US"/>
        </w:rPr>
      </w:pPr>
      <w:bookmarkStart w:id="16" w:name="_Toc491783062"/>
      <w:r w:rsidRPr="00DF212D">
        <w:rPr>
          <w:rFonts w:ascii="Century Gothic" w:hAnsi="Century Gothic"/>
          <w:b/>
          <w:bCs/>
          <w:color w:val="44546A"/>
          <w:sz w:val="20"/>
          <w:szCs w:val="20"/>
        </w:rPr>
        <w:t xml:space="preserve">Figure </w:t>
      </w:r>
      <w:r>
        <w:rPr>
          <w:rFonts w:ascii="Century Gothic" w:hAnsi="Century Gothic"/>
          <w:b/>
          <w:bCs/>
          <w:color w:val="44546A"/>
          <w:sz w:val="20"/>
          <w:szCs w:val="20"/>
        </w:rPr>
        <w:fldChar w:fldCharType="begin"/>
      </w:r>
      <w:r w:rsidRPr="00DF212D">
        <w:rPr>
          <w:rFonts w:ascii="Century Gothic" w:hAnsi="Century Gothic"/>
          <w:b/>
          <w:bCs/>
          <w:color w:val="44546A"/>
          <w:sz w:val="20"/>
          <w:szCs w:val="20"/>
        </w:rPr>
        <w:instrText xml:space="preserve"> STYLEREF 1 \s </w:instrText>
      </w:r>
      <w:r>
        <w:rPr>
          <w:rFonts w:ascii="Century Gothic" w:hAnsi="Century Gothic"/>
          <w:b/>
          <w:bCs/>
          <w:color w:val="44546A"/>
          <w:sz w:val="20"/>
          <w:szCs w:val="20"/>
        </w:rPr>
        <w:fldChar w:fldCharType="separate"/>
      </w:r>
      <w:r w:rsidR="00954E28">
        <w:rPr>
          <w:rFonts w:ascii="Century Gothic" w:hAnsi="Century Gothic" w:hint="cs"/>
          <w:b/>
          <w:bCs/>
          <w:noProof/>
          <w:color w:val="44546A"/>
          <w:sz w:val="20"/>
          <w:szCs w:val="20"/>
          <w:cs/>
        </w:rPr>
        <w:t>‎</w:t>
      </w:r>
      <w:r w:rsidR="00954E28">
        <w:rPr>
          <w:rFonts w:ascii="Century Gothic" w:hAnsi="Century Gothic"/>
          <w:b/>
          <w:bCs/>
          <w:noProof/>
          <w:color w:val="44546A"/>
          <w:sz w:val="20"/>
          <w:szCs w:val="20"/>
        </w:rPr>
        <w:t>1</w:t>
      </w:r>
      <w:r>
        <w:rPr>
          <w:rFonts w:ascii="Century Gothic" w:hAnsi="Century Gothic"/>
          <w:b/>
          <w:bCs/>
          <w:color w:val="44546A"/>
          <w:sz w:val="20"/>
          <w:szCs w:val="20"/>
        </w:rPr>
        <w:fldChar w:fldCharType="end"/>
      </w:r>
      <w:r w:rsidRPr="00DF212D">
        <w:rPr>
          <w:rFonts w:ascii="Century Gothic" w:hAnsi="Century Gothic"/>
          <w:b/>
          <w:bCs/>
          <w:color w:val="44546A"/>
          <w:sz w:val="20"/>
          <w:szCs w:val="20"/>
        </w:rPr>
        <w:t>.</w:t>
      </w:r>
      <w:r>
        <w:rPr>
          <w:rFonts w:ascii="Century Gothic" w:hAnsi="Century Gothic"/>
          <w:b/>
          <w:bCs/>
          <w:color w:val="44546A"/>
          <w:sz w:val="20"/>
          <w:szCs w:val="20"/>
        </w:rPr>
        <w:fldChar w:fldCharType="begin"/>
      </w:r>
      <w:r w:rsidRPr="00DF212D">
        <w:rPr>
          <w:rFonts w:ascii="Century Gothic" w:hAnsi="Century Gothic"/>
          <w:b/>
          <w:bCs/>
          <w:color w:val="44546A"/>
          <w:sz w:val="20"/>
          <w:szCs w:val="20"/>
        </w:rPr>
        <w:instrText xml:space="preserve"> SEQ Figure \* ARABIC \s 1 </w:instrText>
      </w:r>
      <w:r>
        <w:rPr>
          <w:rFonts w:ascii="Century Gothic" w:hAnsi="Century Gothic"/>
          <w:b/>
          <w:bCs/>
          <w:color w:val="44546A"/>
          <w:sz w:val="20"/>
          <w:szCs w:val="20"/>
        </w:rPr>
        <w:fldChar w:fldCharType="separate"/>
      </w:r>
      <w:r w:rsidR="00954E28">
        <w:rPr>
          <w:rFonts w:ascii="Century Gothic" w:hAnsi="Century Gothic"/>
          <w:b/>
          <w:bCs/>
          <w:noProof/>
          <w:color w:val="44546A"/>
          <w:sz w:val="20"/>
          <w:szCs w:val="20"/>
        </w:rPr>
        <w:t>3</w:t>
      </w:r>
      <w:r>
        <w:rPr>
          <w:rFonts w:ascii="Century Gothic" w:hAnsi="Century Gothic"/>
          <w:b/>
          <w:bCs/>
          <w:color w:val="44546A"/>
          <w:sz w:val="20"/>
          <w:szCs w:val="20"/>
        </w:rPr>
        <w:fldChar w:fldCharType="end"/>
      </w:r>
      <w:r w:rsidRPr="00DF212D">
        <w:rPr>
          <w:rFonts w:ascii="Century Gothic" w:hAnsi="Century Gothic"/>
          <w:b/>
          <w:bCs/>
          <w:color w:val="44546A"/>
          <w:sz w:val="20"/>
          <w:szCs w:val="20"/>
        </w:rPr>
        <w:t xml:space="preserve"> </w:t>
      </w:r>
      <w:r>
        <w:rPr>
          <w:rFonts w:ascii="Century Gothic" w:hAnsi="Century Gothic"/>
          <w:b/>
          <w:bCs/>
          <w:color w:val="44546A"/>
          <w:sz w:val="20"/>
          <w:szCs w:val="20"/>
        </w:rPr>
        <w:t xml:space="preserve">Percentage of </w:t>
      </w:r>
      <w:proofErr w:type="spellStart"/>
      <w:r w:rsidR="008B1B8A">
        <w:rPr>
          <w:rFonts w:ascii="Century Gothic" w:hAnsi="Century Gothic"/>
          <w:b/>
          <w:bCs/>
          <w:color w:val="44546A"/>
          <w:sz w:val="20"/>
          <w:szCs w:val="20"/>
        </w:rPr>
        <w:t>Ngāi</w:t>
      </w:r>
      <w:proofErr w:type="spellEnd"/>
      <w:r w:rsidRPr="00DF212D">
        <w:rPr>
          <w:rFonts w:ascii="Century Gothic" w:hAnsi="Century Gothic"/>
          <w:b/>
          <w:bCs/>
          <w:color w:val="44546A"/>
          <w:sz w:val="20"/>
          <w:szCs w:val="20"/>
        </w:rPr>
        <w:t xml:space="preserve"> </w:t>
      </w:r>
      <w:proofErr w:type="spellStart"/>
      <w:r w:rsidRPr="00DF212D">
        <w:rPr>
          <w:rFonts w:ascii="Century Gothic" w:hAnsi="Century Gothic"/>
          <w:b/>
          <w:bCs/>
          <w:color w:val="44546A"/>
          <w:sz w:val="20"/>
          <w:szCs w:val="20"/>
        </w:rPr>
        <w:t>Tāmanuhiri</w:t>
      </w:r>
      <w:proofErr w:type="spellEnd"/>
      <w:r w:rsidR="00C31C69">
        <w:rPr>
          <w:rFonts w:ascii="Century Gothic" w:hAnsi="Century Gothic"/>
          <w:b/>
          <w:bCs/>
          <w:color w:val="44546A"/>
          <w:sz w:val="20"/>
          <w:szCs w:val="20"/>
        </w:rPr>
        <w:t xml:space="preserve"> </w:t>
      </w:r>
      <w:r>
        <w:rPr>
          <w:rFonts w:ascii="Century Gothic" w:hAnsi="Century Gothic"/>
          <w:b/>
          <w:bCs/>
          <w:color w:val="44546A"/>
          <w:sz w:val="20"/>
          <w:szCs w:val="20"/>
        </w:rPr>
        <w:t xml:space="preserve">speaking </w:t>
      </w:r>
      <w:proofErr w:type="spellStart"/>
      <w:proofErr w:type="gramStart"/>
      <w:r w:rsidR="00A61C3A">
        <w:rPr>
          <w:rFonts w:ascii="Century Gothic" w:hAnsi="Century Gothic"/>
          <w:b/>
          <w:bCs/>
          <w:color w:val="44546A"/>
          <w:sz w:val="20"/>
          <w:szCs w:val="20"/>
        </w:rPr>
        <w:t>t</w:t>
      </w:r>
      <w:r w:rsidR="000B60A9">
        <w:rPr>
          <w:rFonts w:ascii="Century Gothic" w:hAnsi="Century Gothic"/>
          <w:b/>
          <w:bCs/>
          <w:color w:val="44546A"/>
          <w:sz w:val="20"/>
          <w:szCs w:val="20"/>
        </w:rPr>
        <w:t>e</w:t>
      </w:r>
      <w:proofErr w:type="spellEnd"/>
      <w:proofErr w:type="gramEnd"/>
      <w:r w:rsidR="000B60A9">
        <w:rPr>
          <w:rFonts w:ascii="Century Gothic" w:hAnsi="Century Gothic"/>
          <w:b/>
          <w:bCs/>
          <w:color w:val="44546A"/>
          <w:sz w:val="20"/>
          <w:szCs w:val="20"/>
        </w:rPr>
        <w:t xml:space="preserve"> reo Māori</w:t>
      </w:r>
      <w:r>
        <w:rPr>
          <w:rFonts w:ascii="Century Gothic" w:hAnsi="Century Gothic"/>
          <w:b/>
          <w:bCs/>
          <w:color w:val="44546A"/>
          <w:sz w:val="20"/>
          <w:szCs w:val="20"/>
        </w:rPr>
        <w:t>; 2001, 2006 and 2013 Censuses</w:t>
      </w:r>
      <w:bookmarkEnd w:id="16"/>
    </w:p>
    <w:p w14:paraId="05D91941" w14:textId="00A1D31E" w:rsidR="00311D48" w:rsidRDefault="003532A6" w:rsidP="00311D48">
      <w:pPr>
        <w:spacing w:after="0" w:line="276" w:lineRule="auto"/>
        <w:rPr>
          <w:rFonts w:ascii="Century Gothic" w:hAnsi="Century Gothic"/>
          <w:b/>
          <w:bCs/>
          <w:color w:val="44546A"/>
          <w:sz w:val="20"/>
          <w:szCs w:val="20"/>
        </w:rPr>
      </w:pPr>
      <w:r w:rsidRPr="00E96676">
        <w:rPr>
          <w:noProof/>
        </w:rPr>
        <w:drawing>
          <wp:anchor distT="0" distB="0" distL="114300" distR="114300" simplePos="0" relativeHeight="252341248" behindDoc="1" locked="0" layoutInCell="1" allowOverlap="1" wp14:anchorId="396B8C76" wp14:editId="00766AEB">
            <wp:simplePos x="0" y="0"/>
            <wp:positionH relativeFrom="column">
              <wp:posOffset>-3175</wp:posOffset>
            </wp:positionH>
            <wp:positionV relativeFrom="paragraph">
              <wp:posOffset>285750</wp:posOffset>
            </wp:positionV>
            <wp:extent cx="6004560" cy="2645410"/>
            <wp:effectExtent l="0" t="0" r="0" b="2540"/>
            <wp:wrapTight wrapText="bothSides">
              <wp:wrapPolygon edited="0">
                <wp:start x="0" y="0"/>
                <wp:lineTo x="0" y="21465"/>
                <wp:lineTo x="21518" y="21465"/>
                <wp:lineTo x="21518" y="0"/>
                <wp:lineTo x="0" y="0"/>
              </wp:wrapPolygon>
            </wp:wrapTight>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4560" cy="2645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AA803E" w14:textId="4ED24A7D" w:rsidR="00311D48" w:rsidRDefault="00311D48" w:rsidP="00311D48">
      <w:pPr>
        <w:spacing w:after="0" w:line="276" w:lineRule="auto"/>
        <w:rPr>
          <w:rFonts w:ascii="Century Gothic" w:hAnsi="Century Gothic"/>
          <w:b/>
          <w:bCs/>
          <w:color w:val="44546A"/>
          <w:sz w:val="20"/>
          <w:szCs w:val="20"/>
        </w:rPr>
      </w:pPr>
    </w:p>
    <w:p w14:paraId="4A26834B" w14:textId="20B61AF3" w:rsidR="00E31739" w:rsidRDefault="00AA23B3" w:rsidP="00E31739">
      <w:pPr>
        <w:spacing w:after="0" w:line="360" w:lineRule="auto"/>
        <w:rPr>
          <w:rFonts w:ascii="Century Gothic" w:hAnsi="Century Gothic"/>
          <w:sz w:val="21"/>
          <w:szCs w:val="21"/>
        </w:rPr>
      </w:pPr>
      <w:r>
        <w:rPr>
          <w:rFonts w:ascii="Century Gothic" w:hAnsi="Century Gothic"/>
          <w:sz w:val="21"/>
          <w:szCs w:val="21"/>
        </w:rPr>
        <w:t xml:space="preserve">It is useful to compare these distributions with the estimated share of </w:t>
      </w:r>
      <w:proofErr w:type="spellStart"/>
      <w:proofErr w:type="gramStart"/>
      <w:r>
        <w:rPr>
          <w:rFonts w:ascii="Century Gothic" w:hAnsi="Century Gothic"/>
          <w:sz w:val="21"/>
          <w:szCs w:val="21"/>
        </w:rPr>
        <w:t>te</w:t>
      </w:r>
      <w:proofErr w:type="spellEnd"/>
      <w:proofErr w:type="gramEnd"/>
      <w:r>
        <w:rPr>
          <w:rFonts w:ascii="Century Gothic" w:hAnsi="Century Gothic"/>
          <w:sz w:val="21"/>
          <w:szCs w:val="21"/>
        </w:rPr>
        <w:t xml:space="preserve"> reo speakers from the 2013 </w:t>
      </w:r>
      <w:r w:rsidR="00CA165C">
        <w:rPr>
          <w:rFonts w:ascii="Century Gothic" w:hAnsi="Century Gothic"/>
          <w:sz w:val="21"/>
          <w:szCs w:val="21"/>
        </w:rPr>
        <w:t xml:space="preserve">Māori Social Survey, </w:t>
      </w:r>
      <w:proofErr w:type="spellStart"/>
      <w:r w:rsidR="00CA165C">
        <w:rPr>
          <w:rFonts w:ascii="Century Gothic" w:hAnsi="Century Gothic"/>
          <w:sz w:val="21"/>
          <w:szCs w:val="21"/>
        </w:rPr>
        <w:t>Te</w:t>
      </w:r>
      <w:proofErr w:type="spellEnd"/>
      <w:r w:rsidR="00CA165C">
        <w:rPr>
          <w:rFonts w:ascii="Century Gothic" w:hAnsi="Century Gothic"/>
          <w:sz w:val="21"/>
          <w:szCs w:val="21"/>
        </w:rPr>
        <w:t xml:space="preserve"> </w:t>
      </w:r>
      <w:proofErr w:type="spellStart"/>
      <w:r w:rsidR="00CA165C">
        <w:rPr>
          <w:rFonts w:ascii="Century Gothic" w:hAnsi="Century Gothic"/>
          <w:sz w:val="21"/>
          <w:szCs w:val="21"/>
        </w:rPr>
        <w:t>Kupenga</w:t>
      </w:r>
      <w:proofErr w:type="spellEnd"/>
      <w:r>
        <w:rPr>
          <w:rFonts w:ascii="Century Gothic" w:hAnsi="Century Gothic"/>
          <w:sz w:val="21"/>
          <w:szCs w:val="21"/>
        </w:rPr>
        <w:t xml:space="preserve">. </w:t>
      </w:r>
      <w:proofErr w:type="spellStart"/>
      <w:r>
        <w:rPr>
          <w:rFonts w:ascii="Century Gothic" w:hAnsi="Century Gothic"/>
          <w:sz w:val="21"/>
          <w:szCs w:val="21"/>
        </w:rPr>
        <w:t>T</w:t>
      </w:r>
      <w:r w:rsidR="00E31739">
        <w:rPr>
          <w:rFonts w:ascii="Century Gothic" w:hAnsi="Century Gothic"/>
          <w:sz w:val="21"/>
          <w:szCs w:val="21"/>
        </w:rPr>
        <w:t>e</w:t>
      </w:r>
      <w:proofErr w:type="spellEnd"/>
      <w:r w:rsidR="00E31739">
        <w:rPr>
          <w:rFonts w:ascii="Century Gothic" w:hAnsi="Century Gothic"/>
          <w:sz w:val="21"/>
          <w:szCs w:val="21"/>
        </w:rPr>
        <w:t xml:space="preserve"> </w:t>
      </w:r>
      <w:proofErr w:type="spellStart"/>
      <w:r w:rsidR="00E31739">
        <w:rPr>
          <w:rFonts w:ascii="Century Gothic" w:hAnsi="Century Gothic"/>
          <w:sz w:val="21"/>
          <w:szCs w:val="21"/>
        </w:rPr>
        <w:t>Kupenga</w:t>
      </w:r>
      <w:proofErr w:type="spellEnd"/>
      <w:r w:rsidR="00E31739">
        <w:rPr>
          <w:rFonts w:ascii="Century Gothic" w:hAnsi="Century Gothic"/>
          <w:sz w:val="21"/>
          <w:szCs w:val="21"/>
        </w:rPr>
        <w:t xml:space="preserve"> respondents were </w:t>
      </w:r>
      <w:r>
        <w:rPr>
          <w:rFonts w:ascii="Century Gothic" w:hAnsi="Century Gothic"/>
          <w:sz w:val="21"/>
          <w:szCs w:val="21"/>
        </w:rPr>
        <w:t>asked: How well are you able to speak Māori in a day-to-day conversation? The answers included: very well</w:t>
      </w:r>
      <w:r w:rsidR="006E740E">
        <w:rPr>
          <w:rFonts w:ascii="Century Gothic" w:hAnsi="Century Gothic"/>
          <w:sz w:val="21"/>
          <w:szCs w:val="21"/>
        </w:rPr>
        <w:t xml:space="preserve"> (I can talk about almost anything in Māori)</w:t>
      </w:r>
      <w:r>
        <w:rPr>
          <w:rFonts w:ascii="Century Gothic" w:hAnsi="Century Gothic"/>
          <w:sz w:val="21"/>
          <w:szCs w:val="21"/>
        </w:rPr>
        <w:t>, well</w:t>
      </w:r>
      <w:r w:rsidR="006E740E">
        <w:rPr>
          <w:rFonts w:ascii="Century Gothic" w:hAnsi="Century Gothic"/>
          <w:sz w:val="21"/>
          <w:szCs w:val="21"/>
        </w:rPr>
        <w:t xml:space="preserve"> (I can talk about many things in Māori)</w:t>
      </w:r>
      <w:r>
        <w:rPr>
          <w:rFonts w:ascii="Century Gothic" w:hAnsi="Century Gothic"/>
          <w:sz w:val="21"/>
          <w:szCs w:val="21"/>
        </w:rPr>
        <w:t>, fairly well</w:t>
      </w:r>
      <w:r w:rsidR="006E740E">
        <w:rPr>
          <w:rFonts w:ascii="Century Gothic" w:hAnsi="Century Gothic"/>
          <w:sz w:val="21"/>
          <w:szCs w:val="21"/>
        </w:rPr>
        <w:t xml:space="preserve"> (I can talk about some things in Māori)</w:t>
      </w:r>
      <w:r>
        <w:rPr>
          <w:rFonts w:ascii="Century Gothic" w:hAnsi="Century Gothic"/>
          <w:sz w:val="21"/>
          <w:szCs w:val="21"/>
        </w:rPr>
        <w:t>, not very well</w:t>
      </w:r>
      <w:r w:rsidR="006E740E">
        <w:rPr>
          <w:rFonts w:ascii="Century Gothic" w:hAnsi="Century Gothic"/>
          <w:sz w:val="21"/>
          <w:szCs w:val="21"/>
        </w:rPr>
        <w:t xml:space="preserve"> (I can only talk about simple/basic things in Maori)</w:t>
      </w:r>
      <w:r>
        <w:rPr>
          <w:rFonts w:ascii="Century Gothic" w:hAnsi="Century Gothic"/>
          <w:sz w:val="21"/>
          <w:szCs w:val="21"/>
        </w:rPr>
        <w:t xml:space="preserve">, and no more than a few words of phrases. Although the number of </w:t>
      </w:r>
      <w:proofErr w:type="spellStart"/>
      <w:r>
        <w:rPr>
          <w:rFonts w:ascii="Century Gothic" w:hAnsi="Century Gothic"/>
          <w:sz w:val="21"/>
          <w:szCs w:val="21"/>
        </w:rPr>
        <w:t>Ngāi</w:t>
      </w:r>
      <w:proofErr w:type="spellEnd"/>
      <w:r>
        <w:rPr>
          <w:rFonts w:ascii="Century Gothic" w:hAnsi="Century Gothic"/>
          <w:sz w:val="21"/>
          <w:szCs w:val="21"/>
        </w:rPr>
        <w:t xml:space="preserve"> </w:t>
      </w:r>
      <w:proofErr w:type="spellStart"/>
      <w:r>
        <w:rPr>
          <w:rFonts w:ascii="Century Gothic" w:hAnsi="Century Gothic"/>
          <w:sz w:val="21"/>
          <w:szCs w:val="21"/>
        </w:rPr>
        <w:t>Tāmanuhiri</w:t>
      </w:r>
      <w:proofErr w:type="spellEnd"/>
      <w:r>
        <w:rPr>
          <w:rFonts w:ascii="Century Gothic" w:hAnsi="Century Gothic"/>
          <w:sz w:val="21"/>
          <w:szCs w:val="21"/>
        </w:rPr>
        <w:t xml:space="preserve"> survey respondents was very </w:t>
      </w:r>
      <w:r w:rsidR="00E31739">
        <w:rPr>
          <w:rFonts w:ascii="Century Gothic" w:hAnsi="Century Gothic"/>
          <w:sz w:val="21"/>
          <w:szCs w:val="21"/>
        </w:rPr>
        <w:t>small</w:t>
      </w:r>
      <w:r>
        <w:rPr>
          <w:rFonts w:ascii="Century Gothic" w:hAnsi="Century Gothic"/>
          <w:sz w:val="21"/>
          <w:szCs w:val="21"/>
        </w:rPr>
        <w:t>, Statistics New Zealand has released</w:t>
      </w:r>
      <w:r w:rsidR="00DA7C26">
        <w:rPr>
          <w:rFonts w:ascii="Century Gothic" w:hAnsi="Century Gothic"/>
          <w:sz w:val="21"/>
          <w:szCs w:val="21"/>
        </w:rPr>
        <w:t xml:space="preserve"> estimates for this question on its website</w:t>
      </w:r>
      <w:r w:rsidR="00CA165C">
        <w:rPr>
          <w:rStyle w:val="FootnoteReference"/>
          <w:rFonts w:ascii="Century Gothic" w:hAnsi="Century Gothic"/>
          <w:sz w:val="21"/>
          <w:szCs w:val="21"/>
        </w:rPr>
        <w:footnoteReference w:id="8"/>
      </w:r>
      <w:r w:rsidR="00E31739">
        <w:rPr>
          <w:rFonts w:ascii="Century Gothic" w:hAnsi="Century Gothic"/>
          <w:sz w:val="21"/>
          <w:szCs w:val="21"/>
        </w:rPr>
        <w:t>. The results are shown below</w:t>
      </w:r>
      <w:r w:rsidR="00E31739" w:rsidRPr="00E31739">
        <w:rPr>
          <w:rFonts w:ascii="Century Gothic" w:hAnsi="Century Gothic"/>
          <w:sz w:val="21"/>
          <w:szCs w:val="21"/>
        </w:rPr>
        <w:t xml:space="preserve"> </w:t>
      </w:r>
      <w:r w:rsidR="00E31739">
        <w:rPr>
          <w:rFonts w:ascii="Century Gothic" w:hAnsi="Century Gothic"/>
          <w:sz w:val="21"/>
          <w:szCs w:val="21"/>
        </w:rPr>
        <w:t>including the lower and</w:t>
      </w:r>
      <w:r w:rsidR="00CA165C">
        <w:rPr>
          <w:rFonts w:ascii="Century Gothic" w:hAnsi="Century Gothic"/>
          <w:sz w:val="21"/>
          <w:szCs w:val="21"/>
        </w:rPr>
        <w:t xml:space="preserve"> upper confidence intervals</w:t>
      </w:r>
      <w:r w:rsidR="00E31739">
        <w:rPr>
          <w:rFonts w:ascii="Century Gothic" w:hAnsi="Century Gothic"/>
          <w:sz w:val="21"/>
          <w:szCs w:val="21"/>
        </w:rPr>
        <w:t>. The wider the confidence intervals (</w:t>
      </w:r>
      <w:proofErr w:type="spellStart"/>
      <w:proofErr w:type="gramStart"/>
      <w:r w:rsidR="00E31739">
        <w:rPr>
          <w:rFonts w:ascii="Century Gothic" w:hAnsi="Century Gothic"/>
          <w:sz w:val="21"/>
          <w:szCs w:val="21"/>
        </w:rPr>
        <w:t>ie</w:t>
      </w:r>
      <w:proofErr w:type="spellEnd"/>
      <w:r w:rsidR="00E31739">
        <w:rPr>
          <w:rFonts w:ascii="Century Gothic" w:hAnsi="Century Gothic"/>
          <w:sz w:val="21"/>
          <w:szCs w:val="21"/>
        </w:rPr>
        <w:t>.,</w:t>
      </w:r>
      <w:proofErr w:type="gramEnd"/>
      <w:r w:rsidR="00E31739">
        <w:rPr>
          <w:rFonts w:ascii="Century Gothic" w:hAnsi="Century Gothic"/>
          <w:sz w:val="21"/>
          <w:szCs w:val="21"/>
        </w:rPr>
        <w:t xml:space="preserve"> the further away from the estimate), the less accurate the estimate is likely to be. </w:t>
      </w:r>
    </w:p>
    <w:p w14:paraId="10EBB69A" w14:textId="77777777" w:rsidR="006E740E" w:rsidRDefault="006E740E" w:rsidP="00E31739">
      <w:pPr>
        <w:spacing w:after="0" w:line="360" w:lineRule="auto"/>
        <w:rPr>
          <w:rFonts w:ascii="Century Gothic" w:hAnsi="Century Gothic"/>
          <w:sz w:val="21"/>
          <w:szCs w:val="21"/>
        </w:rPr>
      </w:pPr>
    </w:p>
    <w:p w14:paraId="1728F0CC" w14:textId="07851079" w:rsidR="0065189F" w:rsidRDefault="00E31739" w:rsidP="006E740E">
      <w:pPr>
        <w:spacing w:after="0" w:line="360" w:lineRule="auto"/>
        <w:rPr>
          <w:rFonts w:ascii="Century Gothic" w:hAnsi="Century Gothic"/>
          <w:sz w:val="21"/>
          <w:szCs w:val="21"/>
        </w:rPr>
      </w:pPr>
      <w:r>
        <w:rPr>
          <w:rFonts w:ascii="Century Gothic" w:hAnsi="Century Gothic"/>
          <w:sz w:val="21"/>
          <w:szCs w:val="21"/>
        </w:rPr>
        <w:t xml:space="preserve">In </w:t>
      </w:r>
      <w:proofErr w:type="spellStart"/>
      <w:r>
        <w:rPr>
          <w:rFonts w:ascii="Century Gothic" w:hAnsi="Century Gothic"/>
          <w:sz w:val="21"/>
          <w:szCs w:val="21"/>
        </w:rPr>
        <w:t>Te</w:t>
      </w:r>
      <w:proofErr w:type="spellEnd"/>
      <w:r>
        <w:rPr>
          <w:rFonts w:ascii="Century Gothic" w:hAnsi="Century Gothic"/>
          <w:sz w:val="21"/>
          <w:szCs w:val="21"/>
        </w:rPr>
        <w:t xml:space="preserve"> </w:t>
      </w:r>
      <w:proofErr w:type="spellStart"/>
      <w:r>
        <w:rPr>
          <w:rFonts w:ascii="Century Gothic" w:hAnsi="Century Gothic"/>
          <w:sz w:val="21"/>
          <w:szCs w:val="21"/>
        </w:rPr>
        <w:t>Kupenga</w:t>
      </w:r>
      <w:proofErr w:type="spellEnd"/>
      <w:r>
        <w:rPr>
          <w:rFonts w:ascii="Century Gothic" w:hAnsi="Century Gothic"/>
          <w:sz w:val="21"/>
          <w:szCs w:val="21"/>
        </w:rPr>
        <w:t xml:space="preserve"> an estimated 22 per cent of </w:t>
      </w:r>
      <w:proofErr w:type="spellStart"/>
      <w:r>
        <w:rPr>
          <w:rFonts w:ascii="Century Gothic" w:hAnsi="Century Gothic"/>
          <w:sz w:val="21"/>
          <w:szCs w:val="21"/>
        </w:rPr>
        <w:t>Ngāi</w:t>
      </w:r>
      <w:proofErr w:type="spellEnd"/>
      <w:r>
        <w:rPr>
          <w:rFonts w:ascii="Century Gothic" w:hAnsi="Century Gothic"/>
          <w:sz w:val="21"/>
          <w:szCs w:val="21"/>
        </w:rPr>
        <w:t xml:space="preserve"> </w:t>
      </w:r>
      <w:proofErr w:type="spellStart"/>
      <w:r>
        <w:rPr>
          <w:rFonts w:ascii="Century Gothic" w:hAnsi="Century Gothic"/>
          <w:sz w:val="21"/>
          <w:szCs w:val="21"/>
        </w:rPr>
        <w:t>Tāmanuhiri</w:t>
      </w:r>
      <w:proofErr w:type="spellEnd"/>
      <w:r>
        <w:rPr>
          <w:rFonts w:ascii="Century Gothic" w:hAnsi="Century Gothic"/>
          <w:sz w:val="21"/>
          <w:szCs w:val="21"/>
        </w:rPr>
        <w:t xml:space="preserve"> could speak </w:t>
      </w:r>
      <w:proofErr w:type="spellStart"/>
      <w:r>
        <w:rPr>
          <w:rFonts w:ascii="Century Gothic" w:hAnsi="Century Gothic"/>
          <w:sz w:val="21"/>
          <w:szCs w:val="21"/>
        </w:rPr>
        <w:t>te</w:t>
      </w:r>
      <w:proofErr w:type="spellEnd"/>
      <w:r>
        <w:rPr>
          <w:rFonts w:ascii="Century Gothic" w:hAnsi="Century Gothic"/>
          <w:sz w:val="21"/>
          <w:szCs w:val="21"/>
        </w:rPr>
        <w:t xml:space="preserve"> reo in a daily conversation very well or well, but the ‘true’ percentage could be anywhere from 15.9 per ce</w:t>
      </w:r>
      <w:r w:rsidR="00CA165C">
        <w:rPr>
          <w:rFonts w:ascii="Century Gothic" w:hAnsi="Century Gothic"/>
          <w:sz w:val="21"/>
          <w:szCs w:val="21"/>
        </w:rPr>
        <w:t>nt to 29.3 per cent. If we add</w:t>
      </w:r>
      <w:r>
        <w:rPr>
          <w:rFonts w:ascii="Century Gothic" w:hAnsi="Century Gothic"/>
          <w:sz w:val="21"/>
          <w:szCs w:val="21"/>
        </w:rPr>
        <w:t xml:space="preserve"> the ‘very well/well’ and ‘fairly well’ responses together, the estimated </w:t>
      </w:r>
      <w:r w:rsidR="006E740E">
        <w:rPr>
          <w:rFonts w:ascii="Century Gothic" w:hAnsi="Century Gothic"/>
          <w:sz w:val="21"/>
          <w:szCs w:val="21"/>
        </w:rPr>
        <w:t>share is 41 per cent, which is very close to the share reported in the 2013 census (42.6 per cent).</w:t>
      </w:r>
    </w:p>
    <w:p w14:paraId="4644215D" w14:textId="77777777" w:rsidR="006E740E" w:rsidRDefault="006E740E" w:rsidP="00E31739">
      <w:pPr>
        <w:spacing w:after="0" w:line="360" w:lineRule="auto"/>
        <w:rPr>
          <w:rFonts w:ascii="Century Gothic" w:hAnsi="Century Gothic"/>
          <w:b/>
          <w:bCs/>
          <w:color w:val="44546A"/>
          <w:sz w:val="20"/>
          <w:szCs w:val="20"/>
        </w:rPr>
      </w:pPr>
    </w:p>
    <w:p w14:paraId="10472562" w14:textId="7BC4193C" w:rsidR="00E31739" w:rsidRPr="00DF212D" w:rsidRDefault="00E31739" w:rsidP="00E31739">
      <w:pPr>
        <w:spacing w:after="0" w:line="276" w:lineRule="auto"/>
        <w:rPr>
          <w:rFonts w:ascii="Century Gothic" w:hAnsi="Century Gothic"/>
          <w:b/>
          <w:bCs/>
          <w:color w:val="44546A"/>
          <w:sz w:val="20"/>
          <w:szCs w:val="20"/>
        </w:rPr>
      </w:pPr>
      <w:bookmarkStart w:id="17" w:name="_Toc491906359"/>
      <w:r w:rsidRPr="00711801">
        <w:rPr>
          <w:rFonts w:ascii="Century Gothic" w:hAnsi="Century Gothic"/>
          <w:b/>
          <w:bCs/>
          <w:color w:val="44546A"/>
          <w:sz w:val="20"/>
          <w:szCs w:val="20"/>
        </w:rPr>
        <w:t xml:space="preserve">Table </w:t>
      </w:r>
      <w:r w:rsidRPr="00711801">
        <w:rPr>
          <w:rFonts w:ascii="Century Gothic" w:hAnsi="Century Gothic"/>
          <w:b/>
          <w:bCs/>
          <w:color w:val="44546A"/>
          <w:sz w:val="20"/>
          <w:szCs w:val="20"/>
        </w:rPr>
        <w:fldChar w:fldCharType="begin"/>
      </w:r>
      <w:r w:rsidRPr="00711801">
        <w:rPr>
          <w:rFonts w:ascii="Century Gothic" w:hAnsi="Century Gothic"/>
          <w:b/>
          <w:bCs/>
          <w:color w:val="44546A"/>
          <w:sz w:val="20"/>
          <w:szCs w:val="20"/>
        </w:rPr>
        <w:instrText xml:space="preserve"> STYLEREF 1 \s </w:instrText>
      </w:r>
      <w:r w:rsidRPr="00711801">
        <w:rPr>
          <w:rFonts w:ascii="Century Gothic" w:hAnsi="Century Gothic"/>
          <w:b/>
          <w:bCs/>
          <w:color w:val="44546A"/>
          <w:sz w:val="20"/>
          <w:szCs w:val="20"/>
        </w:rPr>
        <w:fldChar w:fldCharType="separate"/>
      </w:r>
      <w:r w:rsidR="00711801" w:rsidRPr="00711801">
        <w:rPr>
          <w:rFonts w:ascii="Century Gothic" w:hAnsi="Century Gothic" w:hint="cs"/>
          <w:b/>
          <w:bCs/>
          <w:noProof/>
          <w:color w:val="44546A"/>
          <w:sz w:val="20"/>
          <w:szCs w:val="20"/>
          <w:cs/>
        </w:rPr>
        <w:t>‎</w:t>
      </w:r>
      <w:r w:rsidR="00711801" w:rsidRPr="00711801">
        <w:rPr>
          <w:rFonts w:ascii="Century Gothic" w:hAnsi="Century Gothic"/>
          <w:b/>
          <w:bCs/>
          <w:noProof/>
          <w:color w:val="44546A"/>
          <w:sz w:val="20"/>
          <w:szCs w:val="20"/>
        </w:rPr>
        <w:t>1</w:t>
      </w:r>
      <w:r w:rsidRPr="00711801">
        <w:rPr>
          <w:rFonts w:ascii="Century Gothic" w:hAnsi="Century Gothic"/>
          <w:b/>
          <w:bCs/>
          <w:color w:val="44546A"/>
          <w:sz w:val="20"/>
          <w:szCs w:val="20"/>
        </w:rPr>
        <w:fldChar w:fldCharType="end"/>
      </w:r>
      <w:r w:rsidRPr="00711801">
        <w:rPr>
          <w:rFonts w:ascii="Century Gothic" w:hAnsi="Century Gothic"/>
          <w:b/>
          <w:bCs/>
          <w:color w:val="44546A"/>
          <w:sz w:val="20"/>
          <w:szCs w:val="20"/>
        </w:rPr>
        <w:t>.</w:t>
      </w:r>
      <w:r w:rsidRPr="00711801">
        <w:rPr>
          <w:rFonts w:ascii="Century Gothic" w:hAnsi="Century Gothic"/>
          <w:b/>
          <w:bCs/>
          <w:color w:val="44546A"/>
          <w:sz w:val="20"/>
          <w:szCs w:val="20"/>
        </w:rPr>
        <w:fldChar w:fldCharType="begin"/>
      </w:r>
      <w:r w:rsidRPr="00711801">
        <w:rPr>
          <w:rFonts w:ascii="Century Gothic" w:hAnsi="Century Gothic"/>
          <w:b/>
          <w:bCs/>
          <w:color w:val="44546A"/>
          <w:sz w:val="20"/>
          <w:szCs w:val="20"/>
        </w:rPr>
        <w:instrText xml:space="preserve"> SEQ Table \* ARABIC \s 1 </w:instrText>
      </w:r>
      <w:r w:rsidRPr="00711801">
        <w:rPr>
          <w:rFonts w:ascii="Century Gothic" w:hAnsi="Century Gothic"/>
          <w:b/>
          <w:bCs/>
          <w:color w:val="44546A"/>
          <w:sz w:val="20"/>
          <w:szCs w:val="20"/>
        </w:rPr>
        <w:fldChar w:fldCharType="separate"/>
      </w:r>
      <w:r w:rsidR="00711801" w:rsidRPr="00711801">
        <w:rPr>
          <w:rFonts w:ascii="Century Gothic" w:hAnsi="Century Gothic"/>
          <w:b/>
          <w:bCs/>
          <w:noProof/>
          <w:color w:val="44546A"/>
          <w:sz w:val="20"/>
          <w:szCs w:val="20"/>
        </w:rPr>
        <w:t>1</w:t>
      </w:r>
      <w:r w:rsidRPr="00711801">
        <w:rPr>
          <w:rFonts w:ascii="Century Gothic" w:hAnsi="Century Gothic"/>
          <w:b/>
          <w:bCs/>
          <w:color w:val="44546A"/>
          <w:sz w:val="20"/>
          <w:szCs w:val="20"/>
        </w:rPr>
        <w:fldChar w:fldCharType="end"/>
      </w:r>
      <w:r w:rsidRPr="00711801">
        <w:rPr>
          <w:rFonts w:ascii="Century Gothic" w:hAnsi="Century Gothic"/>
          <w:b/>
          <w:bCs/>
          <w:color w:val="44546A"/>
          <w:sz w:val="20"/>
          <w:szCs w:val="20"/>
        </w:rPr>
        <w:t xml:space="preserve"> </w:t>
      </w:r>
      <w:proofErr w:type="spellStart"/>
      <w:r w:rsidRPr="00711801">
        <w:rPr>
          <w:rFonts w:ascii="Century Gothic" w:hAnsi="Century Gothic"/>
          <w:b/>
          <w:bCs/>
          <w:color w:val="44546A"/>
          <w:sz w:val="20"/>
          <w:szCs w:val="20"/>
        </w:rPr>
        <w:t>Ngāi</w:t>
      </w:r>
      <w:proofErr w:type="spellEnd"/>
      <w:r w:rsidRPr="00711801">
        <w:rPr>
          <w:rFonts w:ascii="Century Gothic" w:hAnsi="Century Gothic"/>
          <w:b/>
          <w:bCs/>
          <w:color w:val="44546A"/>
          <w:sz w:val="20"/>
          <w:szCs w:val="20"/>
        </w:rPr>
        <w:t xml:space="preserve"> </w:t>
      </w:r>
      <w:proofErr w:type="spellStart"/>
      <w:r w:rsidRPr="00711801">
        <w:rPr>
          <w:rFonts w:ascii="Century Gothic" w:hAnsi="Century Gothic"/>
          <w:b/>
          <w:bCs/>
          <w:color w:val="44546A"/>
          <w:sz w:val="20"/>
          <w:szCs w:val="20"/>
        </w:rPr>
        <w:t>Tāmanuhiri</w:t>
      </w:r>
      <w:proofErr w:type="spellEnd"/>
      <w:r w:rsidRPr="00711801">
        <w:rPr>
          <w:rFonts w:ascii="Century Gothic" w:hAnsi="Century Gothic"/>
          <w:b/>
          <w:bCs/>
          <w:color w:val="44546A"/>
          <w:sz w:val="20"/>
          <w:szCs w:val="20"/>
        </w:rPr>
        <w:t xml:space="preserve"> self-reported </w:t>
      </w:r>
      <w:proofErr w:type="spellStart"/>
      <w:proofErr w:type="gramStart"/>
      <w:r w:rsidRPr="00711801">
        <w:rPr>
          <w:rFonts w:ascii="Century Gothic" w:hAnsi="Century Gothic"/>
          <w:b/>
          <w:bCs/>
          <w:color w:val="44546A"/>
          <w:sz w:val="20"/>
          <w:szCs w:val="20"/>
        </w:rPr>
        <w:t>te</w:t>
      </w:r>
      <w:proofErr w:type="spellEnd"/>
      <w:proofErr w:type="gramEnd"/>
      <w:r w:rsidRPr="00711801">
        <w:rPr>
          <w:rFonts w:ascii="Century Gothic" w:hAnsi="Century Gothic"/>
          <w:b/>
          <w:bCs/>
          <w:color w:val="44546A"/>
          <w:sz w:val="20"/>
          <w:szCs w:val="20"/>
        </w:rPr>
        <w:t xml:space="preserve"> reo Māori ability; </w:t>
      </w:r>
      <w:proofErr w:type="spellStart"/>
      <w:r w:rsidRPr="00711801">
        <w:rPr>
          <w:rFonts w:ascii="Century Gothic" w:hAnsi="Century Gothic"/>
          <w:b/>
          <w:bCs/>
          <w:color w:val="44546A"/>
          <w:sz w:val="20"/>
          <w:szCs w:val="20"/>
        </w:rPr>
        <w:t>Te</w:t>
      </w:r>
      <w:proofErr w:type="spellEnd"/>
      <w:r w:rsidRPr="00711801">
        <w:rPr>
          <w:rFonts w:ascii="Century Gothic" w:hAnsi="Century Gothic"/>
          <w:b/>
          <w:bCs/>
          <w:color w:val="44546A"/>
          <w:sz w:val="20"/>
          <w:szCs w:val="20"/>
        </w:rPr>
        <w:t xml:space="preserve"> </w:t>
      </w:r>
      <w:proofErr w:type="spellStart"/>
      <w:r w:rsidRPr="00711801">
        <w:rPr>
          <w:rFonts w:ascii="Century Gothic" w:hAnsi="Century Gothic"/>
          <w:b/>
          <w:bCs/>
          <w:color w:val="44546A"/>
          <w:sz w:val="20"/>
          <w:szCs w:val="20"/>
        </w:rPr>
        <w:t>Kupenga</w:t>
      </w:r>
      <w:proofErr w:type="spellEnd"/>
      <w:r w:rsidRPr="00711801">
        <w:rPr>
          <w:rFonts w:ascii="Century Gothic" w:hAnsi="Century Gothic"/>
          <w:b/>
          <w:bCs/>
          <w:color w:val="44546A"/>
          <w:sz w:val="20"/>
          <w:szCs w:val="20"/>
        </w:rPr>
        <w:t xml:space="preserve"> 2013</w:t>
      </w:r>
      <w:bookmarkEnd w:id="17"/>
    </w:p>
    <w:p w14:paraId="65455753" w14:textId="6FB2131E" w:rsidR="00DA7C26" w:rsidRDefault="00DA7C26" w:rsidP="00311D48">
      <w:pPr>
        <w:spacing w:after="0" w:line="276" w:lineRule="auto"/>
        <w:rPr>
          <w:rFonts w:ascii="Century Gothic" w:hAnsi="Century Gothic"/>
          <w:b/>
          <w:bCs/>
          <w:color w:val="44546A"/>
          <w:sz w:val="20"/>
          <w:szCs w:val="20"/>
        </w:rPr>
      </w:pPr>
    </w:p>
    <w:p w14:paraId="5B11D9E2" w14:textId="729B7318" w:rsidR="00DA7C26" w:rsidRDefault="00DA7C26" w:rsidP="00311D48">
      <w:pPr>
        <w:spacing w:after="0" w:line="276" w:lineRule="auto"/>
        <w:rPr>
          <w:rFonts w:ascii="Century Gothic" w:hAnsi="Century Gothic"/>
          <w:b/>
          <w:bCs/>
          <w:color w:val="44546A"/>
          <w:sz w:val="20"/>
          <w:szCs w:val="20"/>
        </w:rPr>
      </w:pPr>
      <w:r w:rsidRPr="00DA7C26">
        <w:rPr>
          <w:noProof/>
        </w:rPr>
        <w:drawing>
          <wp:inline distT="0" distB="0" distL="0" distR="0" wp14:anchorId="6053B327" wp14:editId="6817C2DC">
            <wp:extent cx="4972050" cy="9810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72050" cy="981075"/>
                    </a:xfrm>
                    <a:prstGeom prst="rect">
                      <a:avLst/>
                    </a:prstGeom>
                    <a:noFill/>
                    <a:ln>
                      <a:noFill/>
                    </a:ln>
                  </pic:spPr>
                </pic:pic>
              </a:graphicData>
            </a:graphic>
          </wp:inline>
        </w:drawing>
      </w:r>
    </w:p>
    <w:p w14:paraId="55B73AB6" w14:textId="747BA818" w:rsidR="00DA7C26" w:rsidRDefault="00DA7C26" w:rsidP="00311D48">
      <w:pPr>
        <w:spacing w:after="0" w:line="276" w:lineRule="auto"/>
        <w:rPr>
          <w:rFonts w:ascii="Century Gothic" w:hAnsi="Century Gothic"/>
          <w:b/>
          <w:bCs/>
          <w:color w:val="44546A"/>
          <w:sz w:val="20"/>
          <w:szCs w:val="20"/>
        </w:rPr>
      </w:pPr>
    </w:p>
    <w:p w14:paraId="46EC887F" w14:textId="3111862B" w:rsidR="00DA7C26" w:rsidRDefault="00DA7C26" w:rsidP="00311D48">
      <w:pPr>
        <w:spacing w:after="0" w:line="276" w:lineRule="auto"/>
        <w:rPr>
          <w:rFonts w:ascii="Century Gothic" w:hAnsi="Century Gothic"/>
          <w:b/>
          <w:bCs/>
          <w:color w:val="44546A"/>
          <w:sz w:val="20"/>
          <w:szCs w:val="20"/>
        </w:rPr>
      </w:pPr>
    </w:p>
    <w:p w14:paraId="270114E1" w14:textId="377770EB" w:rsidR="00311D48" w:rsidRPr="00B65158" w:rsidRDefault="00034682" w:rsidP="0065189F">
      <w:pPr>
        <w:pStyle w:val="Heading2"/>
        <w:numPr>
          <w:ilvl w:val="1"/>
          <w:numId w:val="2"/>
        </w:numPr>
        <w:pBdr>
          <w:bottom w:val="single" w:sz="4" w:space="1" w:color="42AAC2"/>
        </w:pBdr>
        <w:ind w:left="567" w:hanging="567"/>
        <w:rPr>
          <w:rFonts w:ascii="Century Gothic" w:hAnsi="Century Gothic"/>
          <w:b/>
          <w:bCs/>
          <w:color w:val="1F4D78"/>
        </w:rPr>
      </w:pPr>
      <w:bookmarkStart w:id="18" w:name="_Toc491783045"/>
      <w:r>
        <w:rPr>
          <w:rFonts w:ascii="Century Gothic" w:hAnsi="Century Gothic"/>
          <w:b/>
          <w:bCs/>
          <w:color w:val="1F4D78"/>
        </w:rPr>
        <w:t>Sex profile</w:t>
      </w:r>
      <w:bookmarkEnd w:id="18"/>
    </w:p>
    <w:p w14:paraId="33259208" w14:textId="7D0F9A26" w:rsidR="00311D48" w:rsidRDefault="00311D48" w:rsidP="006001B0">
      <w:pPr>
        <w:spacing w:after="0" w:line="276" w:lineRule="auto"/>
        <w:rPr>
          <w:rFonts w:ascii="Century Gothic" w:hAnsi="Century Gothic"/>
          <w:b/>
          <w:bCs/>
          <w:color w:val="44546A"/>
          <w:sz w:val="20"/>
          <w:szCs w:val="20"/>
        </w:rPr>
      </w:pPr>
    </w:p>
    <w:p w14:paraId="7847F3D0" w14:textId="7BE8C1A4" w:rsidR="004A4F7A" w:rsidRDefault="006A3C29" w:rsidP="004A4F7A">
      <w:pPr>
        <w:spacing w:after="0" w:line="360" w:lineRule="auto"/>
        <w:rPr>
          <w:rFonts w:ascii="Century Gothic" w:hAnsi="Century Gothic"/>
          <w:sz w:val="21"/>
          <w:szCs w:val="21"/>
        </w:rPr>
      </w:pPr>
      <w:r w:rsidRPr="00A61C3A">
        <w:rPr>
          <w:rFonts w:ascii="Century Gothic" w:hAnsi="Century Gothic"/>
          <w:sz w:val="21"/>
          <w:szCs w:val="21"/>
        </w:rPr>
        <w:t xml:space="preserve">Given the </w:t>
      </w:r>
      <w:r w:rsidR="00BF5D2B" w:rsidRPr="00A61C3A">
        <w:rPr>
          <w:rFonts w:ascii="Century Gothic" w:hAnsi="Century Gothic"/>
          <w:sz w:val="21"/>
          <w:szCs w:val="21"/>
        </w:rPr>
        <w:t xml:space="preserve">influence </w:t>
      </w:r>
      <w:r w:rsidRPr="00A61C3A">
        <w:rPr>
          <w:rFonts w:ascii="Century Gothic" w:hAnsi="Century Gothic"/>
          <w:sz w:val="21"/>
          <w:szCs w:val="21"/>
        </w:rPr>
        <w:t xml:space="preserve">of age and sex </w:t>
      </w:r>
      <w:r w:rsidR="00BF5D2B" w:rsidRPr="00A61C3A">
        <w:rPr>
          <w:rFonts w:ascii="Century Gothic" w:hAnsi="Century Gothic"/>
          <w:sz w:val="21"/>
          <w:szCs w:val="21"/>
        </w:rPr>
        <w:t xml:space="preserve">on </w:t>
      </w:r>
      <w:r w:rsidRPr="00A61C3A">
        <w:rPr>
          <w:rFonts w:ascii="Century Gothic" w:hAnsi="Century Gothic"/>
          <w:sz w:val="21"/>
          <w:szCs w:val="21"/>
        </w:rPr>
        <w:t xml:space="preserve">social </w:t>
      </w:r>
      <w:r w:rsidR="00C26D6B" w:rsidRPr="00A61C3A">
        <w:rPr>
          <w:rFonts w:ascii="Century Gothic" w:hAnsi="Century Gothic"/>
          <w:sz w:val="21"/>
          <w:szCs w:val="21"/>
        </w:rPr>
        <w:t xml:space="preserve">and cultural </w:t>
      </w:r>
      <w:r w:rsidRPr="00A61C3A">
        <w:rPr>
          <w:rFonts w:ascii="Century Gothic" w:hAnsi="Century Gothic"/>
          <w:sz w:val="21"/>
          <w:szCs w:val="21"/>
        </w:rPr>
        <w:t>roles, consumption patterns, and service demand and provision</w:t>
      </w:r>
      <w:r w:rsidR="00AD7E7D" w:rsidRPr="00A61C3A">
        <w:rPr>
          <w:rFonts w:ascii="Century Gothic" w:hAnsi="Century Gothic"/>
          <w:sz w:val="21"/>
          <w:szCs w:val="21"/>
        </w:rPr>
        <w:t>,</w:t>
      </w:r>
      <w:r w:rsidRPr="00A61C3A">
        <w:rPr>
          <w:rFonts w:ascii="Century Gothic" w:hAnsi="Century Gothic"/>
          <w:sz w:val="21"/>
          <w:szCs w:val="21"/>
        </w:rPr>
        <w:t xml:space="preserve"> </w:t>
      </w:r>
      <w:r w:rsidR="00BF5D2B" w:rsidRPr="00A61C3A">
        <w:rPr>
          <w:rFonts w:ascii="Century Gothic" w:hAnsi="Century Gothic"/>
          <w:sz w:val="21"/>
          <w:szCs w:val="21"/>
        </w:rPr>
        <w:t xml:space="preserve">it is important to have an appreciation of </w:t>
      </w:r>
      <w:r w:rsidR="00C26D6B" w:rsidRPr="00A61C3A">
        <w:rPr>
          <w:rFonts w:ascii="Century Gothic" w:hAnsi="Century Gothic"/>
          <w:sz w:val="21"/>
          <w:szCs w:val="21"/>
        </w:rPr>
        <w:t>the</w:t>
      </w:r>
      <w:r w:rsidRPr="00A61C3A">
        <w:rPr>
          <w:rFonts w:ascii="Century Gothic" w:hAnsi="Century Gothic"/>
          <w:sz w:val="21"/>
          <w:szCs w:val="21"/>
        </w:rPr>
        <w:t xml:space="preserve"> </w:t>
      </w:r>
      <w:r w:rsidR="00BF5D2B" w:rsidRPr="00A61C3A">
        <w:rPr>
          <w:rFonts w:ascii="Century Gothic" w:hAnsi="Century Gothic"/>
          <w:sz w:val="21"/>
          <w:szCs w:val="21"/>
        </w:rPr>
        <w:t xml:space="preserve">specific </w:t>
      </w:r>
      <w:r w:rsidRPr="00A61C3A">
        <w:rPr>
          <w:rFonts w:ascii="Century Gothic" w:hAnsi="Century Gothic"/>
          <w:sz w:val="21"/>
          <w:szCs w:val="21"/>
        </w:rPr>
        <w:t>age-sex composition</w:t>
      </w:r>
      <w:r w:rsidR="00C26D6B" w:rsidRPr="00A61C3A">
        <w:rPr>
          <w:rFonts w:ascii="Century Gothic" w:hAnsi="Century Gothic"/>
          <w:sz w:val="21"/>
          <w:szCs w:val="21"/>
        </w:rPr>
        <w:t xml:space="preserve"> of </w:t>
      </w:r>
      <w:proofErr w:type="spellStart"/>
      <w:r w:rsidR="00C26D6B" w:rsidRPr="00A61C3A">
        <w:rPr>
          <w:rFonts w:ascii="Century Gothic" w:hAnsi="Century Gothic"/>
          <w:sz w:val="21"/>
          <w:szCs w:val="21"/>
        </w:rPr>
        <w:t>Ngāi</w:t>
      </w:r>
      <w:proofErr w:type="spellEnd"/>
      <w:r w:rsidR="00C26D6B" w:rsidRPr="00A61C3A">
        <w:rPr>
          <w:rFonts w:ascii="Century Gothic" w:hAnsi="Century Gothic"/>
          <w:sz w:val="21"/>
          <w:szCs w:val="21"/>
        </w:rPr>
        <w:t xml:space="preserve"> </w:t>
      </w:r>
      <w:proofErr w:type="spellStart"/>
      <w:r w:rsidR="00C26D6B" w:rsidRPr="00A61C3A">
        <w:rPr>
          <w:rFonts w:ascii="Century Gothic" w:hAnsi="Century Gothic"/>
          <w:sz w:val="21"/>
          <w:szCs w:val="21"/>
        </w:rPr>
        <w:t>Tāmanuhiri</w:t>
      </w:r>
      <w:proofErr w:type="spellEnd"/>
      <w:r w:rsidRPr="00A61C3A">
        <w:rPr>
          <w:rFonts w:ascii="Century Gothic" w:hAnsi="Century Gothic"/>
          <w:sz w:val="21"/>
          <w:szCs w:val="21"/>
        </w:rPr>
        <w:t xml:space="preserve">. Figure </w:t>
      </w:r>
      <w:r w:rsidR="00C26D6B" w:rsidRPr="00A61C3A">
        <w:rPr>
          <w:rFonts w:ascii="Century Gothic" w:hAnsi="Century Gothic"/>
          <w:sz w:val="21"/>
          <w:szCs w:val="21"/>
        </w:rPr>
        <w:t xml:space="preserve">1.4 shows that among those who identified as </w:t>
      </w:r>
      <w:proofErr w:type="spellStart"/>
      <w:r w:rsidRPr="00A61C3A">
        <w:rPr>
          <w:rFonts w:ascii="Century Gothic" w:hAnsi="Century Gothic"/>
          <w:sz w:val="21"/>
          <w:szCs w:val="21"/>
        </w:rPr>
        <w:t>Ngāi</w:t>
      </w:r>
      <w:proofErr w:type="spellEnd"/>
      <w:r w:rsidRPr="00A61C3A">
        <w:rPr>
          <w:rFonts w:ascii="Century Gothic" w:hAnsi="Century Gothic"/>
          <w:sz w:val="21"/>
          <w:szCs w:val="21"/>
        </w:rPr>
        <w:t xml:space="preserve"> </w:t>
      </w:r>
      <w:proofErr w:type="spellStart"/>
      <w:r w:rsidRPr="00A61C3A">
        <w:rPr>
          <w:rFonts w:ascii="Century Gothic" w:hAnsi="Century Gothic"/>
          <w:sz w:val="21"/>
          <w:szCs w:val="21"/>
        </w:rPr>
        <w:t>T</w:t>
      </w:r>
      <w:r w:rsidR="00C26D6B" w:rsidRPr="00A61C3A">
        <w:rPr>
          <w:rFonts w:ascii="Century Gothic" w:hAnsi="Century Gothic"/>
          <w:sz w:val="21"/>
          <w:szCs w:val="21"/>
        </w:rPr>
        <w:t>āmanuhiri</w:t>
      </w:r>
      <w:proofErr w:type="spellEnd"/>
      <w:r w:rsidR="00C26D6B" w:rsidRPr="00A61C3A">
        <w:rPr>
          <w:rFonts w:ascii="Century Gothic" w:hAnsi="Century Gothic"/>
          <w:sz w:val="21"/>
          <w:szCs w:val="21"/>
        </w:rPr>
        <w:t xml:space="preserve"> in 2013, there were more females than males </w:t>
      </w:r>
      <w:r w:rsidRPr="00A61C3A">
        <w:rPr>
          <w:rFonts w:ascii="Century Gothic" w:hAnsi="Century Gothic"/>
          <w:sz w:val="21"/>
          <w:szCs w:val="21"/>
        </w:rPr>
        <w:t>(55</w:t>
      </w:r>
      <w:r w:rsidR="00C26D6B" w:rsidRPr="00A61C3A">
        <w:rPr>
          <w:rFonts w:ascii="Century Gothic" w:hAnsi="Century Gothic"/>
          <w:sz w:val="21"/>
          <w:szCs w:val="21"/>
        </w:rPr>
        <w:t xml:space="preserve"> vs 45 per cent), and the gender imbalance was </w:t>
      </w:r>
      <w:r w:rsidRPr="00A61C3A">
        <w:rPr>
          <w:rFonts w:ascii="Century Gothic" w:hAnsi="Century Gothic"/>
          <w:sz w:val="21"/>
          <w:szCs w:val="21"/>
        </w:rPr>
        <w:t xml:space="preserve">more evident </w:t>
      </w:r>
      <w:r w:rsidR="00C26D6B" w:rsidRPr="00A61C3A">
        <w:rPr>
          <w:rFonts w:ascii="Century Gothic" w:hAnsi="Century Gothic"/>
          <w:sz w:val="21"/>
          <w:szCs w:val="21"/>
        </w:rPr>
        <w:t>among</w:t>
      </w:r>
      <w:r w:rsidRPr="00A61C3A">
        <w:rPr>
          <w:rFonts w:ascii="Century Gothic" w:hAnsi="Century Gothic"/>
          <w:sz w:val="21"/>
          <w:szCs w:val="21"/>
        </w:rPr>
        <w:t xml:space="preserve"> </w:t>
      </w:r>
      <w:proofErr w:type="spellStart"/>
      <w:proofErr w:type="gramStart"/>
      <w:r w:rsidR="00D316E9" w:rsidRPr="00A61C3A">
        <w:rPr>
          <w:rFonts w:ascii="Century Gothic" w:hAnsi="Century Gothic"/>
          <w:sz w:val="21"/>
          <w:szCs w:val="21"/>
        </w:rPr>
        <w:t>t</w:t>
      </w:r>
      <w:r w:rsidR="000B60A9" w:rsidRPr="00A61C3A">
        <w:rPr>
          <w:rFonts w:ascii="Century Gothic" w:hAnsi="Century Gothic"/>
          <w:sz w:val="21"/>
          <w:szCs w:val="21"/>
        </w:rPr>
        <w:t>e</w:t>
      </w:r>
      <w:proofErr w:type="spellEnd"/>
      <w:proofErr w:type="gramEnd"/>
      <w:r w:rsidR="000B60A9" w:rsidRPr="00A61C3A">
        <w:rPr>
          <w:rFonts w:ascii="Century Gothic" w:hAnsi="Century Gothic"/>
          <w:sz w:val="21"/>
          <w:szCs w:val="21"/>
        </w:rPr>
        <w:t xml:space="preserve"> reo Māori</w:t>
      </w:r>
      <w:r w:rsidRPr="00A61C3A">
        <w:rPr>
          <w:rFonts w:ascii="Century Gothic" w:hAnsi="Century Gothic"/>
          <w:sz w:val="21"/>
          <w:szCs w:val="21"/>
        </w:rPr>
        <w:t xml:space="preserve"> </w:t>
      </w:r>
      <w:r w:rsidR="00C26D6B" w:rsidRPr="00A61C3A">
        <w:rPr>
          <w:rFonts w:ascii="Century Gothic" w:hAnsi="Century Gothic"/>
          <w:sz w:val="21"/>
          <w:szCs w:val="21"/>
        </w:rPr>
        <w:t>speakers</w:t>
      </w:r>
      <w:r w:rsidRPr="00A61C3A">
        <w:rPr>
          <w:rFonts w:ascii="Century Gothic" w:hAnsi="Century Gothic"/>
          <w:sz w:val="21"/>
          <w:szCs w:val="21"/>
        </w:rPr>
        <w:t xml:space="preserve"> (57 vs 43 per cent). </w:t>
      </w:r>
      <w:r w:rsidR="00AD7E7D" w:rsidRPr="00A61C3A">
        <w:rPr>
          <w:rFonts w:ascii="Century Gothic" w:hAnsi="Century Gothic"/>
          <w:sz w:val="21"/>
          <w:szCs w:val="21"/>
        </w:rPr>
        <w:t>This is not surprising. P</w:t>
      </w:r>
      <w:r w:rsidR="00C26D6B" w:rsidRPr="00A61C3A">
        <w:rPr>
          <w:rFonts w:ascii="Century Gothic" w:hAnsi="Century Gothic"/>
          <w:sz w:val="21"/>
          <w:szCs w:val="21"/>
        </w:rPr>
        <w:t xml:space="preserve">revious research has found that most iwi in the census tend to be dominated by females, and that this is especially so among </w:t>
      </w:r>
      <w:proofErr w:type="spellStart"/>
      <w:proofErr w:type="gramStart"/>
      <w:r w:rsidR="004A4F7A" w:rsidRPr="00A61C3A">
        <w:rPr>
          <w:rFonts w:ascii="Century Gothic" w:hAnsi="Century Gothic"/>
          <w:sz w:val="21"/>
          <w:szCs w:val="21"/>
        </w:rPr>
        <w:t>t</w:t>
      </w:r>
      <w:r w:rsidR="000B60A9" w:rsidRPr="00A61C3A">
        <w:rPr>
          <w:rFonts w:ascii="Century Gothic" w:hAnsi="Century Gothic"/>
          <w:sz w:val="21"/>
          <w:szCs w:val="21"/>
        </w:rPr>
        <w:t>e</w:t>
      </w:r>
      <w:proofErr w:type="spellEnd"/>
      <w:proofErr w:type="gramEnd"/>
      <w:r w:rsidR="000B60A9" w:rsidRPr="00A61C3A">
        <w:rPr>
          <w:rFonts w:ascii="Century Gothic" w:hAnsi="Century Gothic"/>
          <w:sz w:val="21"/>
          <w:szCs w:val="21"/>
        </w:rPr>
        <w:t xml:space="preserve"> reo Māori</w:t>
      </w:r>
      <w:r w:rsidR="00C26D6B" w:rsidRPr="00A61C3A">
        <w:rPr>
          <w:rFonts w:ascii="Century Gothic" w:hAnsi="Century Gothic"/>
          <w:sz w:val="21"/>
          <w:szCs w:val="21"/>
        </w:rPr>
        <w:t xml:space="preserve"> speakers (</w:t>
      </w:r>
      <w:proofErr w:type="spellStart"/>
      <w:r w:rsidR="00C26D6B" w:rsidRPr="00A61C3A">
        <w:rPr>
          <w:rFonts w:ascii="Century Gothic" w:hAnsi="Century Gothic"/>
          <w:sz w:val="21"/>
          <w:szCs w:val="21"/>
        </w:rPr>
        <w:t>Kukutai</w:t>
      </w:r>
      <w:proofErr w:type="spellEnd"/>
      <w:r w:rsidR="00C26D6B" w:rsidRPr="00A61C3A">
        <w:rPr>
          <w:rFonts w:ascii="Century Gothic" w:hAnsi="Century Gothic"/>
          <w:sz w:val="21"/>
          <w:szCs w:val="21"/>
        </w:rPr>
        <w:t xml:space="preserve"> &amp; </w:t>
      </w:r>
      <w:proofErr w:type="spellStart"/>
      <w:r w:rsidR="00C26D6B" w:rsidRPr="00A61C3A">
        <w:rPr>
          <w:rFonts w:ascii="Century Gothic" w:hAnsi="Century Gothic"/>
          <w:sz w:val="21"/>
          <w:szCs w:val="21"/>
        </w:rPr>
        <w:t>Rarere</w:t>
      </w:r>
      <w:proofErr w:type="spellEnd"/>
      <w:r w:rsidR="00C26D6B" w:rsidRPr="00A61C3A">
        <w:rPr>
          <w:rFonts w:ascii="Century Gothic" w:hAnsi="Century Gothic"/>
          <w:sz w:val="21"/>
          <w:szCs w:val="21"/>
        </w:rPr>
        <w:t>, 2013, 2015). By comparison the general Māori descent population was somewhat more balanced with respect to its sex composition (52 per cent female).</w:t>
      </w:r>
    </w:p>
    <w:p w14:paraId="2B59B640" w14:textId="77777777" w:rsidR="00954E28" w:rsidRDefault="00954E28" w:rsidP="004A4F7A">
      <w:pPr>
        <w:spacing w:after="0" w:line="360" w:lineRule="auto"/>
        <w:rPr>
          <w:rFonts w:ascii="Century Gothic" w:hAnsi="Century Gothic"/>
          <w:sz w:val="21"/>
          <w:szCs w:val="21"/>
        </w:rPr>
      </w:pPr>
    </w:p>
    <w:p w14:paraId="1F2A15CA" w14:textId="2F665B34" w:rsidR="00034682" w:rsidRPr="00DF212D" w:rsidRDefault="00034682" w:rsidP="00C31C69">
      <w:pPr>
        <w:spacing w:after="0" w:line="276" w:lineRule="auto"/>
        <w:rPr>
          <w:rFonts w:ascii="Century Gothic" w:eastAsiaTheme="majorEastAsia" w:hAnsi="Century Gothic" w:cstheme="majorBidi"/>
          <w:b/>
          <w:bCs/>
          <w:color w:val="4EAFC6"/>
          <w:sz w:val="21"/>
          <w:szCs w:val="21"/>
          <w:lang w:eastAsia="en-US"/>
        </w:rPr>
      </w:pPr>
      <w:bookmarkStart w:id="19" w:name="_Toc491783063"/>
      <w:r w:rsidRPr="00DF212D">
        <w:rPr>
          <w:rFonts w:ascii="Century Gothic" w:hAnsi="Century Gothic"/>
          <w:b/>
          <w:bCs/>
          <w:color w:val="44546A"/>
          <w:sz w:val="20"/>
          <w:szCs w:val="20"/>
        </w:rPr>
        <w:t xml:space="preserve">Figure </w:t>
      </w:r>
      <w:r>
        <w:rPr>
          <w:rFonts w:ascii="Century Gothic" w:hAnsi="Century Gothic"/>
          <w:b/>
          <w:bCs/>
          <w:color w:val="44546A"/>
          <w:sz w:val="20"/>
          <w:szCs w:val="20"/>
        </w:rPr>
        <w:fldChar w:fldCharType="begin"/>
      </w:r>
      <w:r w:rsidRPr="00DF212D">
        <w:rPr>
          <w:rFonts w:ascii="Century Gothic" w:hAnsi="Century Gothic"/>
          <w:b/>
          <w:bCs/>
          <w:color w:val="44546A"/>
          <w:sz w:val="20"/>
          <w:szCs w:val="20"/>
        </w:rPr>
        <w:instrText xml:space="preserve"> STYLEREF 1 \s </w:instrText>
      </w:r>
      <w:r>
        <w:rPr>
          <w:rFonts w:ascii="Century Gothic" w:hAnsi="Century Gothic"/>
          <w:b/>
          <w:bCs/>
          <w:color w:val="44546A"/>
          <w:sz w:val="20"/>
          <w:szCs w:val="20"/>
        </w:rPr>
        <w:fldChar w:fldCharType="separate"/>
      </w:r>
      <w:r w:rsidR="001470A9">
        <w:rPr>
          <w:rFonts w:ascii="Century Gothic" w:hAnsi="Century Gothic" w:hint="cs"/>
          <w:b/>
          <w:bCs/>
          <w:noProof/>
          <w:color w:val="44546A"/>
          <w:sz w:val="20"/>
          <w:szCs w:val="20"/>
          <w:cs/>
        </w:rPr>
        <w:t>‎</w:t>
      </w:r>
      <w:r w:rsidR="001470A9">
        <w:rPr>
          <w:rFonts w:ascii="Century Gothic" w:hAnsi="Century Gothic"/>
          <w:b/>
          <w:bCs/>
          <w:noProof/>
          <w:color w:val="44546A"/>
          <w:sz w:val="20"/>
          <w:szCs w:val="20"/>
        </w:rPr>
        <w:t>1</w:t>
      </w:r>
      <w:r>
        <w:rPr>
          <w:rFonts w:ascii="Century Gothic" w:hAnsi="Century Gothic"/>
          <w:b/>
          <w:bCs/>
          <w:color w:val="44546A"/>
          <w:sz w:val="20"/>
          <w:szCs w:val="20"/>
        </w:rPr>
        <w:fldChar w:fldCharType="end"/>
      </w:r>
      <w:r w:rsidRPr="00DF212D">
        <w:rPr>
          <w:rFonts w:ascii="Century Gothic" w:hAnsi="Century Gothic"/>
          <w:b/>
          <w:bCs/>
          <w:color w:val="44546A"/>
          <w:sz w:val="20"/>
          <w:szCs w:val="20"/>
        </w:rPr>
        <w:t>.</w:t>
      </w:r>
      <w:r>
        <w:rPr>
          <w:rFonts w:ascii="Century Gothic" w:hAnsi="Century Gothic"/>
          <w:b/>
          <w:bCs/>
          <w:color w:val="44546A"/>
          <w:sz w:val="20"/>
          <w:szCs w:val="20"/>
        </w:rPr>
        <w:fldChar w:fldCharType="begin"/>
      </w:r>
      <w:r w:rsidRPr="00DF212D">
        <w:rPr>
          <w:rFonts w:ascii="Century Gothic" w:hAnsi="Century Gothic"/>
          <w:b/>
          <w:bCs/>
          <w:color w:val="44546A"/>
          <w:sz w:val="20"/>
          <w:szCs w:val="20"/>
        </w:rPr>
        <w:instrText xml:space="preserve"> SEQ Figure \* ARABIC \s 1 </w:instrText>
      </w:r>
      <w:r>
        <w:rPr>
          <w:rFonts w:ascii="Century Gothic" w:hAnsi="Century Gothic"/>
          <w:b/>
          <w:bCs/>
          <w:color w:val="44546A"/>
          <w:sz w:val="20"/>
          <w:szCs w:val="20"/>
        </w:rPr>
        <w:fldChar w:fldCharType="separate"/>
      </w:r>
      <w:r w:rsidR="001470A9">
        <w:rPr>
          <w:rFonts w:ascii="Century Gothic" w:hAnsi="Century Gothic"/>
          <w:b/>
          <w:bCs/>
          <w:noProof/>
          <w:color w:val="44546A"/>
          <w:sz w:val="20"/>
          <w:szCs w:val="20"/>
        </w:rPr>
        <w:t>4</w:t>
      </w:r>
      <w:r>
        <w:rPr>
          <w:rFonts w:ascii="Century Gothic" w:hAnsi="Century Gothic"/>
          <w:b/>
          <w:bCs/>
          <w:color w:val="44546A"/>
          <w:sz w:val="20"/>
          <w:szCs w:val="20"/>
        </w:rPr>
        <w:fldChar w:fldCharType="end"/>
      </w:r>
      <w:r w:rsidRPr="00DF212D">
        <w:rPr>
          <w:rFonts w:ascii="Century Gothic" w:hAnsi="Century Gothic"/>
          <w:b/>
          <w:bCs/>
          <w:color w:val="44546A"/>
          <w:sz w:val="20"/>
          <w:szCs w:val="20"/>
        </w:rPr>
        <w:t xml:space="preserve"> </w:t>
      </w:r>
      <w:r>
        <w:rPr>
          <w:rFonts w:ascii="Century Gothic" w:hAnsi="Century Gothic"/>
          <w:b/>
          <w:bCs/>
          <w:color w:val="44546A"/>
          <w:sz w:val="20"/>
          <w:szCs w:val="20"/>
        </w:rPr>
        <w:t>Sex profile</w:t>
      </w:r>
      <w:r w:rsidRPr="00DF212D">
        <w:rPr>
          <w:rFonts w:ascii="Century Gothic" w:hAnsi="Century Gothic"/>
          <w:b/>
          <w:bCs/>
          <w:color w:val="44546A"/>
          <w:sz w:val="20"/>
          <w:szCs w:val="20"/>
        </w:rPr>
        <w:t xml:space="preserve"> of </w:t>
      </w:r>
      <w:proofErr w:type="spellStart"/>
      <w:r w:rsidR="008B1B8A">
        <w:rPr>
          <w:rFonts w:ascii="Century Gothic" w:hAnsi="Century Gothic"/>
          <w:b/>
          <w:bCs/>
          <w:color w:val="44546A"/>
          <w:sz w:val="20"/>
          <w:szCs w:val="20"/>
        </w:rPr>
        <w:t>Ngāi</w:t>
      </w:r>
      <w:proofErr w:type="spellEnd"/>
      <w:r w:rsidRPr="00DF212D">
        <w:rPr>
          <w:rFonts w:ascii="Century Gothic" w:hAnsi="Century Gothic"/>
          <w:b/>
          <w:bCs/>
          <w:color w:val="44546A"/>
          <w:sz w:val="20"/>
          <w:szCs w:val="20"/>
        </w:rPr>
        <w:t xml:space="preserve"> </w:t>
      </w:r>
      <w:proofErr w:type="spellStart"/>
      <w:r w:rsidRPr="00DF212D">
        <w:rPr>
          <w:rFonts w:ascii="Century Gothic" w:hAnsi="Century Gothic"/>
          <w:b/>
          <w:bCs/>
          <w:color w:val="44546A"/>
          <w:sz w:val="20"/>
          <w:szCs w:val="20"/>
        </w:rPr>
        <w:t>Tāmanuhiri</w:t>
      </w:r>
      <w:proofErr w:type="spellEnd"/>
      <w:r w:rsidR="00657576">
        <w:rPr>
          <w:rFonts w:ascii="Century Gothic" w:hAnsi="Century Gothic"/>
          <w:b/>
          <w:bCs/>
          <w:color w:val="44546A"/>
          <w:sz w:val="20"/>
          <w:szCs w:val="20"/>
        </w:rPr>
        <w:t xml:space="preserve"> and </w:t>
      </w:r>
      <w:proofErr w:type="spellStart"/>
      <w:r w:rsidR="008B1B8A">
        <w:rPr>
          <w:rFonts w:ascii="Century Gothic" w:hAnsi="Century Gothic"/>
          <w:b/>
          <w:bCs/>
          <w:color w:val="44546A"/>
          <w:sz w:val="20"/>
          <w:szCs w:val="20"/>
        </w:rPr>
        <w:t>Ngāi</w:t>
      </w:r>
      <w:proofErr w:type="spellEnd"/>
      <w:r w:rsidR="00657576" w:rsidRPr="00DF212D">
        <w:rPr>
          <w:rFonts w:ascii="Century Gothic" w:hAnsi="Century Gothic"/>
          <w:b/>
          <w:bCs/>
          <w:color w:val="44546A"/>
          <w:sz w:val="20"/>
          <w:szCs w:val="20"/>
        </w:rPr>
        <w:t xml:space="preserve"> </w:t>
      </w:r>
      <w:proofErr w:type="spellStart"/>
      <w:r w:rsidR="00657576" w:rsidRPr="00DF212D">
        <w:rPr>
          <w:rFonts w:ascii="Century Gothic" w:hAnsi="Century Gothic"/>
          <w:b/>
          <w:bCs/>
          <w:color w:val="44546A"/>
          <w:sz w:val="20"/>
          <w:szCs w:val="20"/>
        </w:rPr>
        <w:t>Tāmanuhiri</w:t>
      </w:r>
      <w:proofErr w:type="spellEnd"/>
      <w:r>
        <w:rPr>
          <w:rFonts w:ascii="Century Gothic" w:hAnsi="Century Gothic"/>
          <w:b/>
          <w:bCs/>
          <w:color w:val="44546A"/>
          <w:sz w:val="20"/>
          <w:szCs w:val="20"/>
        </w:rPr>
        <w:t xml:space="preserve"> </w:t>
      </w:r>
      <w:proofErr w:type="spellStart"/>
      <w:proofErr w:type="gramStart"/>
      <w:r w:rsidR="00D752F0">
        <w:rPr>
          <w:rFonts w:ascii="Century Gothic" w:hAnsi="Century Gothic"/>
          <w:b/>
          <w:bCs/>
          <w:color w:val="44546A"/>
          <w:sz w:val="20"/>
          <w:szCs w:val="20"/>
        </w:rPr>
        <w:t>t</w:t>
      </w:r>
      <w:r w:rsidR="000B60A9">
        <w:rPr>
          <w:rFonts w:ascii="Century Gothic" w:hAnsi="Century Gothic"/>
          <w:b/>
          <w:bCs/>
          <w:color w:val="44546A"/>
          <w:sz w:val="20"/>
          <w:szCs w:val="20"/>
        </w:rPr>
        <w:t>e</w:t>
      </w:r>
      <w:proofErr w:type="spellEnd"/>
      <w:proofErr w:type="gramEnd"/>
      <w:r w:rsidR="000B60A9">
        <w:rPr>
          <w:rFonts w:ascii="Century Gothic" w:hAnsi="Century Gothic"/>
          <w:b/>
          <w:bCs/>
          <w:color w:val="44546A"/>
          <w:sz w:val="20"/>
          <w:szCs w:val="20"/>
        </w:rPr>
        <w:t xml:space="preserve"> reo Māori</w:t>
      </w:r>
      <w:r w:rsidR="00C31C69">
        <w:rPr>
          <w:rFonts w:ascii="Century Gothic" w:hAnsi="Century Gothic"/>
          <w:b/>
          <w:bCs/>
          <w:color w:val="44546A"/>
          <w:sz w:val="20"/>
          <w:szCs w:val="20"/>
        </w:rPr>
        <w:t xml:space="preserve"> speakers </w:t>
      </w:r>
      <w:r w:rsidR="00657576">
        <w:rPr>
          <w:rFonts w:ascii="Century Gothic" w:hAnsi="Century Gothic"/>
          <w:b/>
          <w:bCs/>
          <w:color w:val="44546A"/>
          <w:sz w:val="20"/>
          <w:szCs w:val="20"/>
        </w:rPr>
        <w:t>compared with the t</w:t>
      </w:r>
      <w:r>
        <w:rPr>
          <w:rFonts w:ascii="Century Gothic" w:hAnsi="Century Gothic"/>
          <w:b/>
          <w:bCs/>
          <w:color w:val="44546A"/>
          <w:sz w:val="20"/>
          <w:szCs w:val="20"/>
        </w:rPr>
        <w:t>otal Māori descent population as recorded at the 2013 Census</w:t>
      </w:r>
      <w:bookmarkEnd w:id="19"/>
    </w:p>
    <w:p w14:paraId="2C92A5C6" w14:textId="72D23DF1" w:rsidR="00034682" w:rsidRPr="00DF212D" w:rsidRDefault="00034682" w:rsidP="00034682">
      <w:pPr>
        <w:spacing w:after="0" w:line="276" w:lineRule="auto"/>
        <w:rPr>
          <w:rFonts w:ascii="Century Gothic" w:hAnsi="Century Gothic"/>
          <w:b/>
          <w:bCs/>
          <w:color w:val="44546A"/>
          <w:sz w:val="20"/>
          <w:szCs w:val="20"/>
        </w:rPr>
      </w:pPr>
      <w:r w:rsidRPr="00034682">
        <w:rPr>
          <w:noProof/>
        </w:rPr>
        <w:drawing>
          <wp:anchor distT="0" distB="0" distL="114300" distR="114300" simplePos="0" relativeHeight="252342272" behindDoc="1" locked="0" layoutInCell="1" allowOverlap="1" wp14:anchorId="44F0CA0C" wp14:editId="23FD0B34">
            <wp:simplePos x="0" y="0"/>
            <wp:positionH relativeFrom="column">
              <wp:posOffset>3479</wp:posOffset>
            </wp:positionH>
            <wp:positionV relativeFrom="paragraph">
              <wp:posOffset>3865</wp:posOffset>
            </wp:positionV>
            <wp:extent cx="4989600" cy="2307600"/>
            <wp:effectExtent l="0" t="0" r="1905" b="0"/>
            <wp:wrapTight wrapText="bothSides">
              <wp:wrapPolygon edited="0">
                <wp:start x="0" y="0"/>
                <wp:lineTo x="0" y="21398"/>
                <wp:lineTo x="21526" y="21398"/>
                <wp:lineTo x="2152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89600" cy="230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EE6A09" w14:textId="31196D0E" w:rsidR="00034682" w:rsidRPr="00DF212D" w:rsidRDefault="00034682" w:rsidP="00034682">
      <w:pPr>
        <w:spacing w:after="0" w:line="276" w:lineRule="auto"/>
        <w:rPr>
          <w:rFonts w:ascii="Century Gothic" w:hAnsi="Century Gothic"/>
          <w:b/>
          <w:bCs/>
          <w:color w:val="44546A"/>
          <w:sz w:val="20"/>
          <w:szCs w:val="20"/>
        </w:rPr>
      </w:pPr>
    </w:p>
    <w:p w14:paraId="25668B3A" w14:textId="45313FAD" w:rsidR="00034682" w:rsidRPr="00DF212D" w:rsidRDefault="00034682" w:rsidP="00034682">
      <w:pPr>
        <w:spacing w:after="0" w:line="276" w:lineRule="auto"/>
        <w:rPr>
          <w:rFonts w:ascii="Century Gothic" w:hAnsi="Century Gothic"/>
          <w:b/>
          <w:bCs/>
          <w:color w:val="44546A"/>
          <w:sz w:val="20"/>
          <w:szCs w:val="20"/>
        </w:rPr>
      </w:pPr>
    </w:p>
    <w:p w14:paraId="69F7ED22" w14:textId="6D2162A4" w:rsidR="00034682" w:rsidRPr="00DF212D" w:rsidRDefault="00034682" w:rsidP="00034682">
      <w:pPr>
        <w:spacing w:after="0" w:line="276" w:lineRule="auto"/>
        <w:rPr>
          <w:rFonts w:ascii="Century Gothic" w:hAnsi="Century Gothic"/>
          <w:b/>
          <w:bCs/>
          <w:color w:val="44546A"/>
          <w:sz w:val="20"/>
          <w:szCs w:val="20"/>
        </w:rPr>
      </w:pPr>
    </w:p>
    <w:p w14:paraId="675132FA" w14:textId="77777777" w:rsidR="00034682" w:rsidRPr="00DF212D" w:rsidRDefault="00034682" w:rsidP="00034682">
      <w:pPr>
        <w:spacing w:after="0" w:line="276" w:lineRule="auto"/>
        <w:rPr>
          <w:rFonts w:ascii="Century Gothic" w:hAnsi="Century Gothic"/>
          <w:b/>
          <w:bCs/>
          <w:color w:val="44546A"/>
          <w:sz w:val="20"/>
          <w:szCs w:val="20"/>
        </w:rPr>
      </w:pPr>
    </w:p>
    <w:p w14:paraId="311D83CD" w14:textId="77777777" w:rsidR="00034682" w:rsidRPr="00DF212D" w:rsidRDefault="00034682" w:rsidP="00034682">
      <w:pPr>
        <w:spacing w:after="0" w:line="276" w:lineRule="auto"/>
        <w:rPr>
          <w:rFonts w:ascii="Century Gothic" w:hAnsi="Century Gothic"/>
          <w:b/>
          <w:bCs/>
          <w:color w:val="44546A"/>
          <w:sz w:val="20"/>
          <w:szCs w:val="20"/>
        </w:rPr>
      </w:pPr>
    </w:p>
    <w:p w14:paraId="5456274A" w14:textId="77777777" w:rsidR="00034682" w:rsidRPr="00DF212D" w:rsidRDefault="00034682" w:rsidP="00034682">
      <w:pPr>
        <w:spacing w:after="0" w:line="276" w:lineRule="auto"/>
        <w:rPr>
          <w:rFonts w:ascii="Century Gothic" w:hAnsi="Century Gothic"/>
          <w:b/>
          <w:bCs/>
          <w:color w:val="44546A"/>
          <w:sz w:val="20"/>
          <w:szCs w:val="20"/>
        </w:rPr>
      </w:pPr>
    </w:p>
    <w:p w14:paraId="082E173B" w14:textId="77777777" w:rsidR="00034682" w:rsidRPr="00DF212D" w:rsidRDefault="00034682" w:rsidP="00034682">
      <w:pPr>
        <w:spacing w:after="0" w:line="276" w:lineRule="auto"/>
        <w:rPr>
          <w:rFonts w:ascii="Century Gothic" w:hAnsi="Century Gothic"/>
          <w:b/>
          <w:bCs/>
          <w:color w:val="44546A"/>
          <w:sz w:val="20"/>
          <w:szCs w:val="20"/>
        </w:rPr>
      </w:pPr>
    </w:p>
    <w:p w14:paraId="6B3DE1A3" w14:textId="77777777" w:rsidR="00034682" w:rsidRPr="00DF212D" w:rsidRDefault="00034682" w:rsidP="00034682">
      <w:pPr>
        <w:spacing w:after="0" w:line="276" w:lineRule="auto"/>
        <w:rPr>
          <w:rFonts w:ascii="Century Gothic" w:hAnsi="Century Gothic"/>
          <w:b/>
          <w:bCs/>
          <w:color w:val="44546A"/>
          <w:sz w:val="20"/>
          <w:szCs w:val="20"/>
        </w:rPr>
      </w:pPr>
    </w:p>
    <w:p w14:paraId="400614B0" w14:textId="77777777" w:rsidR="00034682" w:rsidRPr="00DF212D" w:rsidRDefault="00034682" w:rsidP="00034682">
      <w:pPr>
        <w:spacing w:after="0" w:line="276" w:lineRule="auto"/>
        <w:rPr>
          <w:rFonts w:ascii="Century Gothic" w:hAnsi="Century Gothic"/>
          <w:b/>
          <w:bCs/>
          <w:color w:val="44546A"/>
          <w:sz w:val="20"/>
          <w:szCs w:val="20"/>
        </w:rPr>
      </w:pPr>
    </w:p>
    <w:p w14:paraId="4454821F" w14:textId="77777777" w:rsidR="00034682" w:rsidRPr="00DF212D" w:rsidRDefault="00034682" w:rsidP="00034682">
      <w:pPr>
        <w:spacing w:after="0" w:line="276" w:lineRule="auto"/>
        <w:rPr>
          <w:rFonts w:ascii="Century Gothic" w:hAnsi="Century Gothic"/>
          <w:b/>
          <w:bCs/>
          <w:color w:val="44546A"/>
          <w:sz w:val="20"/>
          <w:szCs w:val="20"/>
        </w:rPr>
      </w:pPr>
    </w:p>
    <w:p w14:paraId="7910C576" w14:textId="77777777" w:rsidR="00034682" w:rsidRPr="00DF212D" w:rsidRDefault="00034682" w:rsidP="00034682">
      <w:pPr>
        <w:spacing w:after="0" w:line="276" w:lineRule="auto"/>
        <w:rPr>
          <w:rFonts w:ascii="Century Gothic" w:hAnsi="Century Gothic"/>
          <w:b/>
          <w:bCs/>
          <w:color w:val="44546A"/>
          <w:sz w:val="20"/>
          <w:szCs w:val="20"/>
        </w:rPr>
      </w:pPr>
    </w:p>
    <w:p w14:paraId="137436C8" w14:textId="77777777" w:rsidR="00034682" w:rsidRPr="00DF212D" w:rsidRDefault="00034682" w:rsidP="00034682">
      <w:pPr>
        <w:spacing w:after="0" w:line="276" w:lineRule="auto"/>
        <w:rPr>
          <w:rFonts w:ascii="Century Gothic" w:hAnsi="Century Gothic"/>
          <w:b/>
          <w:bCs/>
          <w:color w:val="44546A"/>
          <w:sz w:val="20"/>
          <w:szCs w:val="20"/>
        </w:rPr>
      </w:pPr>
    </w:p>
    <w:p w14:paraId="2CBDBA70" w14:textId="68BF5966" w:rsidR="00034682" w:rsidRDefault="00034682" w:rsidP="00034682">
      <w:pPr>
        <w:spacing w:after="0" w:line="276" w:lineRule="auto"/>
        <w:rPr>
          <w:rFonts w:ascii="Century Gothic" w:hAnsi="Century Gothic"/>
          <w:b/>
          <w:bCs/>
          <w:color w:val="44546A"/>
          <w:sz w:val="20"/>
          <w:szCs w:val="20"/>
        </w:rPr>
      </w:pPr>
    </w:p>
    <w:p w14:paraId="7F59701E" w14:textId="4060E30A" w:rsidR="004A4F7A" w:rsidRPr="00877AF2" w:rsidRDefault="00AD7E7D" w:rsidP="006451FE">
      <w:pPr>
        <w:spacing w:after="0" w:line="360" w:lineRule="auto"/>
        <w:rPr>
          <w:rFonts w:ascii="Century Gothic" w:hAnsi="Century Gothic"/>
          <w:sz w:val="21"/>
          <w:szCs w:val="21"/>
        </w:rPr>
      </w:pPr>
      <w:r w:rsidRPr="00877AF2">
        <w:rPr>
          <w:rFonts w:ascii="Century Gothic" w:hAnsi="Century Gothic"/>
          <w:sz w:val="21"/>
          <w:szCs w:val="21"/>
        </w:rPr>
        <w:lastRenderedPageBreak/>
        <w:t xml:space="preserve">Having considered sex composition, Figure 1.5 further shows that 44 per cent of </w:t>
      </w:r>
      <w:proofErr w:type="spellStart"/>
      <w:r w:rsidRPr="00877AF2">
        <w:rPr>
          <w:rFonts w:ascii="Century Gothic" w:hAnsi="Century Gothic"/>
          <w:sz w:val="21"/>
          <w:szCs w:val="21"/>
        </w:rPr>
        <w:t>Ngāi</w:t>
      </w:r>
      <w:proofErr w:type="spellEnd"/>
      <w:r w:rsidRPr="00877AF2">
        <w:rPr>
          <w:rFonts w:ascii="Century Gothic" w:hAnsi="Century Gothic"/>
          <w:sz w:val="21"/>
          <w:szCs w:val="21"/>
        </w:rPr>
        <w:t xml:space="preserve"> </w:t>
      </w:r>
      <w:proofErr w:type="spellStart"/>
      <w:r w:rsidRPr="00877AF2">
        <w:rPr>
          <w:rFonts w:ascii="Century Gothic" w:hAnsi="Century Gothic"/>
          <w:sz w:val="21"/>
          <w:szCs w:val="21"/>
        </w:rPr>
        <w:t>Tāmanuhiri</w:t>
      </w:r>
      <w:proofErr w:type="spellEnd"/>
      <w:r w:rsidRPr="00877AF2">
        <w:rPr>
          <w:rFonts w:ascii="Century Gothic" w:hAnsi="Century Gothic"/>
          <w:sz w:val="21"/>
          <w:szCs w:val="21"/>
        </w:rPr>
        <w:t xml:space="preserve"> fem</w:t>
      </w:r>
      <w:r w:rsidRPr="002810CD">
        <w:rPr>
          <w:rFonts w:ascii="Century Gothic" w:hAnsi="Century Gothic"/>
          <w:sz w:val="21"/>
          <w:szCs w:val="21"/>
        </w:rPr>
        <w:t xml:space="preserve">ales </w:t>
      </w:r>
      <w:r w:rsidR="002810CD" w:rsidRPr="002810CD">
        <w:rPr>
          <w:rFonts w:ascii="Century Gothic" w:hAnsi="Century Gothic"/>
          <w:sz w:val="21"/>
          <w:szCs w:val="21"/>
        </w:rPr>
        <w:t>(n=411</w:t>
      </w:r>
      <w:r w:rsidR="00D43735" w:rsidRPr="002810CD">
        <w:rPr>
          <w:rFonts w:ascii="Century Gothic" w:hAnsi="Century Gothic"/>
          <w:sz w:val="21"/>
          <w:szCs w:val="21"/>
        </w:rPr>
        <w:t xml:space="preserve">) </w:t>
      </w:r>
      <w:r w:rsidRPr="002810CD">
        <w:rPr>
          <w:rFonts w:ascii="Century Gothic" w:hAnsi="Century Gothic"/>
          <w:sz w:val="21"/>
          <w:szCs w:val="21"/>
        </w:rPr>
        <w:t xml:space="preserve">and 41 per cent of males </w:t>
      </w:r>
      <w:r w:rsidR="002810CD" w:rsidRPr="002810CD">
        <w:rPr>
          <w:rFonts w:ascii="Century Gothic" w:hAnsi="Century Gothic"/>
          <w:sz w:val="21"/>
          <w:szCs w:val="21"/>
        </w:rPr>
        <w:t>(n=309</w:t>
      </w:r>
      <w:r w:rsidR="00D43735" w:rsidRPr="002810CD">
        <w:rPr>
          <w:rFonts w:ascii="Century Gothic" w:hAnsi="Century Gothic"/>
          <w:sz w:val="21"/>
          <w:szCs w:val="21"/>
        </w:rPr>
        <w:t>)</w:t>
      </w:r>
      <w:r w:rsidR="00D43735" w:rsidRPr="00877AF2">
        <w:rPr>
          <w:rFonts w:ascii="Century Gothic" w:hAnsi="Century Gothic"/>
          <w:sz w:val="21"/>
          <w:szCs w:val="21"/>
        </w:rPr>
        <w:t xml:space="preserve"> </w:t>
      </w:r>
      <w:r w:rsidRPr="00877AF2">
        <w:rPr>
          <w:rFonts w:ascii="Century Gothic" w:hAnsi="Century Gothic"/>
          <w:sz w:val="21"/>
          <w:szCs w:val="21"/>
        </w:rPr>
        <w:t xml:space="preserve">could speak </w:t>
      </w:r>
      <w:proofErr w:type="spellStart"/>
      <w:proofErr w:type="gramStart"/>
      <w:r w:rsidR="0033288C">
        <w:rPr>
          <w:rFonts w:ascii="Century Gothic" w:hAnsi="Century Gothic"/>
          <w:sz w:val="21"/>
          <w:szCs w:val="21"/>
        </w:rPr>
        <w:t>t</w:t>
      </w:r>
      <w:r w:rsidR="000B60A9">
        <w:rPr>
          <w:rFonts w:ascii="Century Gothic" w:hAnsi="Century Gothic"/>
          <w:sz w:val="21"/>
          <w:szCs w:val="21"/>
        </w:rPr>
        <w:t>e</w:t>
      </w:r>
      <w:proofErr w:type="spellEnd"/>
      <w:proofErr w:type="gramEnd"/>
      <w:r w:rsidR="000B60A9">
        <w:rPr>
          <w:rFonts w:ascii="Century Gothic" w:hAnsi="Century Gothic"/>
          <w:sz w:val="21"/>
          <w:szCs w:val="21"/>
        </w:rPr>
        <w:t xml:space="preserve"> reo Māori</w:t>
      </w:r>
      <w:r w:rsidRPr="00877AF2">
        <w:rPr>
          <w:rFonts w:ascii="Century Gothic" w:hAnsi="Century Gothic"/>
          <w:sz w:val="21"/>
          <w:szCs w:val="21"/>
        </w:rPr>
        <w:t xml:space="preserve"> in 2013. These shares are very high by comparison with the overall Māori descent population</w:t>
      </w:r>
      <w:r w:rsidR="00BF5D2B" w:rsidRPr="00877AF2">
        <w:rPr>
          <w:rFonts w:ascii="Century Gothic" w:hAnsi="Century Gothic"/>
          <w:sz w:val="21"/>
          <w:szCs w:val="21"/>
        </w:rPr>
        <w:t>, for</w:t>
      </w:r>
      <w:r w:rsidR="00D43735" w:rsidRPr="00877AF2">
        <w:rPr>
          <w:rFonts w:ascii="Century Gothic" w:hAnsi="Century Gothic"/>
          <w:sz w:val="21"/>
          <w:szCs w:val="21"/>
        </w:rPr>
        <w:t xml:space="preserve"> which only about </w:t>
      </w:r>
      <w:r w:rsidRPr="00877AF2">
        <w:rPr>
          <w:rFonts w:ascii="Century Gothic" w:hAnsi="Century Gothic"/>
          <w:sz w:val="21"/>
          <w:szCs w:val="21"/>
        </w:rPr>
        <w:t>19 per cent</w:t>
      </w:r>
      <w:r w:rsidR="00D43735" w:rsidRPr="00877AF2">
        <w:rPr>
          <w:rFonts w:ascii="Century Gothic" w:hAnsi="Century Gothic"/>
          <w:sz w:val="21"/>
          <w:szCs w:val="21"/>
        </w:rPr>
        <w:t xml:space="preserve"> could speak </w:t>
      </w:r>
      <w:proofErr w:type="spellStart"/>
      <w:proofErr w:type="gramStart"/>
      <w:r w:rsidR="006451FE">
        <w:rPr>
          <w:rFonts w:ascii="Century Gothic" w:hAnsi="Century Gothic"/>
          <w:sz w:val="21"/>
          <w:szCs w:val="21"/>
        </w:rPr>
        <w:t>te</w:t>
      </w:r>
      <w:proofErr w:type="spellEnd"/>
      <w:proofErr w:type="gramEnd"/>
      <w:r w:rsidR="006451FE">
        <w:rPr>
          <w:rFonts w:ascii="Century Gothic" w:hAnsi="Century Gothic"/>
          <w:sz w:val="21"/>
          <w:szCs w:val="21"/>
        </w:rPr>
        <w:t xml:space="preserve"> reo</w:t>
      </w:r>
      <w:r w:rsidR="00BF5D2B" w:rsidRPr="00877AF2">
        <w:rPr>
          <w:rFonts w:ascii="Century Gothic" w:hAnsi="Century Gothic"/>
          <w:sz w:val="21"/>
          <w:szCs w:val="21"/>
        </w:rPr>
        <w:t xml:space="preserve">. </w:t>
      </w:r>
    </w:p>
    <w:p w14:paraId="33605DA1" w14:textId="77777777" w:rsidR="00877AF2" w:rsidRPr="00877AF2" w:rsidRDefault="00877AF2" w:rsidP="00877AF2">
      <w:pPr>
        <w:spacing w:after="0" w:line="360" w:lineRule="auto"/>
        <w:rPr>
          <w:rFonts w:ascii="Century Gothic" w:hAnsi="Century Gothic"/>
          <w:sz w:val="21"/>
          <w:szCs w:val="21"/>
        </w:rPr>
      </w:pPr>
    </w:p>
    <w:p w14:paraId="4F556041" w14:textId="3CD00BCD" w:rsidR="00877AF2" w:rsidRDefault="00877AF2" w:rsidP="00E010B2">
      <w:pPr>
        <w:spacing w:after="0" w:line="360" w:lineRule="auto"/>
        <w:rPr>
          <w:rFonts w:ascii="Century Gothic" w:hAnsi="Century Gothic"/>
          <w:sz w:val="21"/>
          <w:szCs w:val="21"/>
        </w:rPr>
      </w:pPr>
      <w:r w:rsidRPr="00877AF2">
        <w:rPr>
          <w:rFonts w:ascii="Century Gothic" w:hAnsi="Century Gothic"/>
          <w:sz w:val="21"/>
          <w:szCs w:val="21"/>
        </w:rPr>
        <w:t xml:space="preserve">The ability to speak </w:t>
      </w:r>
      <w:proofErr w:type="spellStart"/>
      <w:proofErr w:type="gramStart"/>
      <w:r w:rsidR="006451FE">
        <w:rPr>
          <w:rFonts w:ascii="Century Gothic" w:hAnsi="Century Gothic"/>
          <w:sz w:val="21"/>
          <w:szCs w:val="21"/>
        </w:rPr>
        <w:t>t</w:t>
      </w:r>
      <w:r w:rsidR="000B60A9">
        <w:rPr>
          <w:rFonts w:ascii="Century Gothic" w:hAnsi="Century Gothic"/>
          <w:sz w:val="21"/>
          <w:szCs w:val="21"/>
        </w:rPr>
        <w:t>e</w:t>
      </w:r>
      <w:proofErr w:type="spellEnd"/>
      <w:proofErr w:type="gramEnd"/>
      <w:r w:rsidR="000B60A9">
        <w:rPr>
          <w:rFonts w:ascii="Century Gothic" w:hAnsi="Century Gothic"/>
          <w:sz w:val="21"/>
          <w:szCs w:val="21"/>
        </w:rPr>
        <w:t xml:space="preserve"> reo Māori</w:t>
      </w:r>
      <w:r w:rsidRPr="00877AF2">
        <w:rPr>
          <w:rFonts w:ascii="Century Gothic" w:hAnsi="Century Gothic"/>
          <w:sz w:val="21"/>
          <w:szCs w:val="21"/>
        </w:rPr>
        <w:t xml:space="preserve"> is influenced by a</w:t>
      </w:r>
      <w:r>
        <w:rPr>
          <w:rFonts w:ascii="Century Gothic" w:hAnsi="Century Gothic"/>
          <w:sz w:val="21"/>
          <w:szCs w:val="21"/>
        </w:rPr>
        <w:t xml:space="preserve"> range of factors including </w:t>
      </w:r>
      <w:r w:rsidR="000E288C">
        <w:rPr>
          <w:rFonts w:ascii="Century Gothic" w:hAnsi="Century Gothic"/>
          <w:sz w:val="21"/>
          <w:szCs w:val="21"/>
        </w:rPr>
        <w:t xml:space="preserve">intergenerational </w:t>
      </w:r>
      <w:proofErr w:type="spellStart"/>
      <w:r>
        <w:rPr>
          <w:rFonts w:ascii="Century Gothic" w:hAnsi="Century Gothic"/>
          <w:sz w:val="21"/>
          <w:szCs w:val="21"/>
        </w:rPr>
        <w:t>whā</w:t>
      </w:r>
      <w:r w:rsidRPr="00877AF2">
        <w:rPr>
          <w:rFonts w:ascii="Century Gothic" w:hAnsi="Century Gothic"/>
          <w:sz w:val="21"/>
          <w:szCs w:val="21"/>
        </w:rPr>
        <w:t>nau</w:t>
      </w:r>
      <w:proofErr w:type="spellEnd"/>
      <w:r w:rsidRPr="00877AF2">
        <w:rPr>
          <w:rFonts w:ascii="Century Gothic" w:hAnsi="Century Gothic"/>
          <w:sz w:val="21"/>
          <w:szCs w:val="21"/>
        </w:rPr>
        <w:t xml:space="preserve"> capability, ease of access, and </w:t>
      </w:r>
      <w:r>
        <w:rPr>
          <w:rFonts w:ascii="Century Gothic" w:hAnsi="Century Gothic"/>
          <w:sz w:val="21"/>
          <w:szCs w:val="21"/>
        </w:rPr>
        <w:t xml:space="preserve">community </w:t>
      </w:r>
      <w:r w:rsidRPr="00877AF2">
        <w:rPr>
          <w:rFonts w:ascii="Century Gothic" w:hAnsi="Century Gothic"/>
          <w:sz w:val="21"/>
          <w:szCs w:val="21"/>
        </w:rPr>
        <w:t>attitudes tow</w:t>
      </w:r>
      <w:r w:rsidR="0051164A">
        <w:rPr>
          <w:rFonts w:ascii="Century Gothic" w:hAnsi="Century Gothic"/>
          <w:sz w:val="21"/>
          <w:szCs w:val="21"/>
        </w:rPr>
        <w:t xml:space="preserve">ards the value and use of </w:t>
      </w:r>
      <w:proofErr w:type="spellStart"/>
      <w:r w:rsidR="006451FE">
        <w:rPr>
          <w:rFonts w:ascii="Century Gothic" w:hAnsi="Century Gothic"/>
          <w:sz w:val="21"/>
          <w:szCs w:val="21"/>
        </w:rPr>
        <w:t>t</w:t>
      </w:r>
      <w:r w:rsidR="000B60A9">
        <w:rPr>
          <w:rFonts w:ascii="Century Gothic" w:hAnsi="Century Gothic"/>
          <w:sz w:val="21"/>
          <w:szCs w:val="21"/>
        </w:rPr>
        <w:t>e</w:t>
      </w:r>
      <w:proofErr w:type="spellEnd"/>
      <w:r w:rsidR="000B60A9">
        <w:rPr>
          <w:rFonts w:ascii="Century Gothic" w:hAnsi="Century Gothic"/>
          <w:sz w:val="21"/>
          <w:szCs w:val="21"/>
        </w:rPr>
        <w:t xml:space="preserve"> reo Māori</w:t>
      </w:r>
      <w:r w:rsidRPr="00877AF2">
        <w:rPr>
          <w:rFonts w:ascii="Century Gothic" w:hAnsi="Century Gothic"/>
          <w:sz w:val="21"/>
          <w:szCs w:val="21"/>
        </w:rPr>
        <w:t xml:space="preserve">. These factors shift over time and across individual lifecycles, producing complex variations in </w:t>
      </w:r>
      <w:proofErr w:type="spellStart"/>
      <w:proofErr w:type="gramStart"/>
      <w:r w:rsidR="000B60A9">
        <w:rPr>
          <w:rFonts w:ascii="Century Gothic" w:hAnsi="Century Gothic"/>
          <w:sz w:val="21"/>
          <w:szCs w:val="21"/>
        </w:rPr>
        <w:t>te</w:t>
      </w:r>
      <w:proofErr w:type="spellEnd"/>
      <w:proofErr w:type="gramEnd"/>
      <w:r w:rsidR="000B60A9">
        <w:rPr>
          <w:rFonts w:ascii="Century Gothic" w:hAnsi="Century Gothic"/>
          <w:sz w:val="21"/>
          <w:szCs w:val="21"/>
        </w:rPr>
        <w:t xml:space="preserve"> reo Māori</w:t>
      </w:r>
      <w:r w:rsidRPr="00877AF2">
        <w:rPr>
          <w:rFonts w:ascii="Century Gothic" w:hAnsi="Century Gothic"/>
          <w:sz w:val="21"/>
          <w:szCs w:val="21"/>
        </w:rPr>
        <w:t xml:space="preserve"> sp</w:t>
      </w:r>
      <w:r>
        <w:rPr>
          <w:rFonts w:ascii="Century Gothic" w:hAnsi="Century Gothic"/>
          <w:sz w:val="21"/>
          <w:szCs w:val="21"/>
        </w:rPr>
        <w:t>eaker rates by age and</w:t>
      </w:r>
      <w:r w:rsidR="00E010B2">
        <w:rPr>
          <w:rFonts w:ascii="Century Gothic" w:hAnsi="Century Gothic"/>
          <w:sz w:val="21"/>
          <w:szCs w:val="21"/>
        </w:rPr>
        <w:t xml:space="preserve"> birth cohorts</w:t>
      </w:r>
      <w:r>
        <w:rPr>
          <w:rFonts w:ascii="Century Gothic" w:hAnsi="Century Gothic"/>
          <w:sz w:val="21"/>
          <w:szCs w:val="21"/>
        </w:rPr>
        <w:t xml:space="preserve">. </w:t>
      </w:r>
      <w:r w:rsidR="004A4F7A">
        <w:rPr>
          <w:rFonts w:ascii="Century Gothic" w:hAnsi="Century Gothic"/>
          <w:sz w:val="21"/>
          <w:szCs w:val="21"/>
        </w:rPr>
        <w:t>We</w:t>
      </w:r>
      <w:r>
        <w:rPr>
          <w:rFonts w:ascii="Century Gothic" w:hAnsi="Century Gothic"/>
          <w:sz w:val="21"/>
          <w:szCs w:val="21"/>
        </w:rPr>
        <w:t xml:space="preserve"> cannot assume that the factors that supported </w:t>
      </w:r>
      <w:proofErr w:type="spellStart"/>
      <w:proofErr w:type="gramStart"/>
      <w:r w:rsidR="006451FE">
        <w:rPr>
          <w:rFonts w:ascii="Century Gothic" w:hAnsi="Century Gothic"/>
          <w:sz w:val="21"/>
          <w:szCs w:val="21"/>
        </w:rPr>
        <w:t>t</w:t>
      </w:r>
      <w:r w:rsidR="000B60A9">
        <w:rPr>
          <w:rFonts w:ascii="Century Gothic" w:hAnsi="Century Gothic"/>
          <w:sz w:val="21"/>
          <w:szCs w:val="21"/>
        </w:rPr>
        <w:t>e</w:t>
      </w:r>
      <w:proofErr w:type="spellEnd"/>
      <w:proofErr w:type="gramEnd"/>
      <w:r w:rsidR="000B60A9">
        <w:rPr>
          <w:rFonts w:ascii="Century Gothic" w:hAnsi="Century Gothic"/>
          <w:sz w:val="21"/>
          <w:szCs w:val="21"/>
        </w:rPr>
        <w:t xml:space="preserve"> reo Māori</w:t>
      </w:r>
      <w:r>
        <w:rPr>
          <w:rFonts w:ascii="Century Gothic" w:hAnsi="Century Gothic"/>
          <w:sz w:val="21"/>
          <w:szCs w:val="21"/>
        </w:rPr>
        <w:t xml:space="preserve"> retention in one generation wil</w:t>
      </w:r>
      <w:r w:rsidR="004A4F7A">
        <w:rPr>
          <w:rFonts w:ascii="Century Gothic" w:hAnsi="Century Gothic"/>
          <w:sz w:val="21"/>
          <w:szCs w:val="21"/>
        </w:rPr>
        <w:t>l persist across subsequent generations</w:t>
      </w:r>
      <w:r>
        <w:rPr>
          <w:rFonts w:ascii="Century Gothic" w:hAnsi="Century Gothic"/>
          <w:sz w:val="21"/>
          <w:szCs w:val="21"/>
        </w:rPr>
        <w:t xml:space="preserve">. </w:t>
      </w:r>
      <w:r w:rsidR="00E010B2">
        <w:rPr>
          <w:rFonts w:ascii="Century Gothic" w:hAnsi="Century Gothic"/>
          <w:sz w:val="21"/>
          <w:szCs w:val="21"/>
        </w:rPr>
        <w:t>Protecting and sustaining the</w:t>
      </w:r>
      <w:r w:rsidR="00E010B2" w:rsidRPr="00877AF2">
        <w:rPr>
          <w:rFonts w:ascii="Century Gothic" w:hAnsi="Century Gothic"/>
          <w:sz w:val="21"/>
          <w:szCs w:val="21"/>
        </w:rPr>
        <w:t xml:space="preserve"> rich legacy </w:t>
      </w:r>
      <w:r w:rsidR="00E010B2">
        <w:rPr>
          <w:rFonts w:ascii="Century Gothic" w:hAnsi="Century Gothic"/>
          <w:sz w:val="21"/>
          <w:szCs w:val="21"/>
        </w:rPr>
        <w:t xml:space="preserve">of </w:t>
      </w:r>
      <w:proofErr w:type="spellStart"/>
      <w:proofErr w:type="gramStart"/>
      <w:r w:rsidR="00E010B2">
        <w:rPr>
          <w:rFonts w:ascii="Century Gothic" w:hAnsi="Century Gothic"/>
          <w:sz w:val="21"/>
          <w:szCs w:val="21"/>
        </w:rPr>
        <w:t>te</w:t>
      </w:r>
      <w:proofErr w:type="spellEnd"/>
      <w:proofErr w:type="gramEnd"/>
      <w:r w:rsidR="00E010B2">
        <w:rPr>
          <w:rFonts w:ascii="Century Gothic" w:hAnsi="Century Gothic"/>
          <w:sz w:val="21"/>
          <w:szCs w:val="21"/>
        </w:rPr>
        <w:t xml:space="preserve"> reo </w:t>
      </w:r>
      <w:r w:rsidR="00E010B2" w:rsidRPr="00877AF2">
        <w:rPr>
          <w:rFonts w:ascii="Century Gothic" w:hAnsi="Century Gothic"/>
          <w:sz w:val="21"/>
          <w:szCs w:val="21"/>
        </w:rPr>
        <w:t>across future generations will require an ongoing commitment.</w:t>
      </w:r>
    </w:p>
    <w:p w14:paraId="423785B0" w14:textId="77777777" w:rsidR="00877AF2" w:rsidRDefault="00877AF2" w:rsidP="00877AF2">
      <w:pPr>
        <w:spacing w:after="0" w:line="360" w:lineRule="auto"/>
        <w:rPr>
          <w:rFonts w:ascii="Century Gothic" w:hAnsi="Century Gothic"/>
          <w:sz w:val="21"/>
          <w:szCs w:val="21"/>
        </w:rPr>
      </w:pPr>
    </w:p>
    <w:p w14:paraId="027A805F" w14:textId="5A5F350C" w:rsidR="00657576" w:rsidRPr="00DF212D" w:rsidRDefault="00954E28" w:rsidP="00C31C69">
      <w:pPr>
        <w:spacing w:after="0" w:line="276" w:lineRule="auto"/>
        <w:rPr>
          <w:rFonts w:ascii="Century Gothic" w:eastAsiaTheme="majorEastAsia" w:hAnsi="Century Gothic" w:cstheme="majorBidi"/>
          <w:b/>
          <w:bCs/>
          <w:color w:val="4EAFC6"/>
          <w:sz w:val="21"/>
          <w:szCs w:val="21"/>
          <w:lang w:eastAsia="en-US"/>
        </w:rPr>
      </w:pPr>
      <w:bookmarkStart w:id="20" w:name="_Toc491783064"/>
      <w:r w:rsidRPr="0062575E">
        <w:rPr>
          <w:noProof/>
        </w:rPr>
        <w:drawing>
          <wp:anchor distT="0" distB="0" distL="114300" distR="114300" simplePos="0" relativeHeight="252344320" behindDoc="1" locked="0" layoutInCell="1" allowOverlap="1" wp14:anchorId="19BCBC46" wp14:editId="6CDE9CAA">
            <wp:simplePos x="0" y="0"/>
            <wp:positionH relativeFrom="column">
              <wp:posOffset>-3175</wp:posOffset>
            </wp:positionH>
            <wp:positionV relativeFrom="paragraph">
              <wp:posOffset>437349</wp:posOffset>
            </wp:positionV>
            <wp:extent cx="6001200" cy="2638800"/>
            <wp:effectExtent l="0" t="0" r="0" b="9525"/>
            <wp:wrapTight wrapText="bothSides">
              <wp:wrapPolygon edited="0">
                <wp:start x="0" y="0"/>
                <wp:lineTo x="0" y="21522"/>
                <wp:lineTo x="21531" y="21522"/>
                <wp:lineTo x="21531" y="0"/>
                <wp:lineTo x="0" y="0"/>
              </wp:wrapPolygon>
            </wp:wrapTight>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01200" cy="263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576" w:rsidRPr="00DF212D">
        <w:rPr>
          <w:rFonts w:ascii="Century Gothic" w:hAnsi="Century Gothic"/>
          <w:b/>
          <w:bCs/>
          <w:color w:val="44546A"/>
          <w:sz w:val="20"/>
          <w:szCs w:val="20"/>
        </w:rPr>
        <w:t xml:space="preserve">Figure </w:t>
      </w:r>
      <w:r w:rsidR="00657576">
        <w:rPr>
          <w:rFonts w:ascii="Century Gothic" w:hAnsi="Century Gothic"/>
          <w:b/>
          <w:bCs/>
          <w:color w:val="44546A"/>
          <w:sz w:val="20"/>
          <w:szCs w:val="20"/>
        </w:rPr>
        <w:fldChar w:fldCharType="begin"/>
      </w:r>
      <w:r w:rsidR="00657576" w:rsidRPr="00DF212D">
        <w:rPr>
          <w:rFonts w:ascii="Century Gothic" w:hAnsi="Century Gothic"/>
          <w:b/>
          <w:bCs/>
          <w:color w:val="44546A"/>
          <w:sz w:val="20"/>
          <w:szCs w:val="20"/>
        </w:rPr>
        <w:instrText xml:space="preserve"> STYLEREF 1 \s </w:instrText>
      </w:r>
      <w:r w:rsidR="00657576">
        <w:rPr>
          <w:rFonts w:ascii="Century Gothic" w:hAnsi="Century Gothic"/>
          <w:b/>
          <w:bCs/>
          <w:color w:val="44546A"/>
          <w:sz w:val="20"/>
          <w:szCs w:val="20"/>
        </w:rPr>
        <w:fldChar w:fldCharType="separate"/>
      </w:r>
      <w:r w:rsidR="001470A9">
        <w:rPr>
          <w:rFonts w:ascii="Century Gothic" w:hAnsi="Century Gothic" w:hint="cs"/>
          <w:b/>
          <w:bCs/>
          <w:noProof/>
          <w:color w:val="44546A"/>
          <w:sz w:val="20"/>
          <w:szCs w:val="20"/>
          <w:cs/>
        </w:rPr>
        <w:t>‎</w:t>
      </w:r>
      <w:r w:rsidR="001470A9">
        <w:rPr>
          <w:rFonts w:ascii="Century Gothic" w:hAnsi="Century Gothic"/>
          <w:b/>
          <w:bCs/>
          <w:noProof/>
          <w:color w:val="44546A"/>
          <w:sz w:val="20"/>
          <w:szCs w:val="20"/>
        </w:rPr>
        <w:t>1</w:t>
      </w:r>
      <w:r w:rsidR="00657576">
        <w:rPr>
          <w:rFonts w:ascii="Century Gothic" w:hAnsi="Century Gothic"/>
          <w:b/>
          <w:bCs/>
          <w:color w:val="44546A"/>
          <w:sz w:val="20"/>
          <w:szCs w:val="20"/>
        </w:rPr>
        <w:fldChar w:fldCharType="end"/>
      </w:r>
      <w:r w:rsidR="00657576" w:rsidRPr="00DF212D">
        <w:rPr>
          <w:rFonts w:ascii="Century Gothic" w:hAnsi="Century Gothic"/>
          <w:b/>
          <w:bCs/>
          <w:color w:val="44546A"/>
          <w:sz w:val="20"/>
          <w:szCs w:val="20"/>
        </w:rPr>
        <w:t>.</w:t>
      </w:r>
      <w:r w:rsidR="00657576">
        <w:rPr>
          <w:rFonts w:ascii="Century Gothic" w:hAnsi="Century Gothic"/>
          <w:b/>
          <w:bCs/>
          <w:color w:val="44546A"/>
          <w:sz w:val="20"/>
          <w:szCs w:val="20"/>
        </w:rPr>
        <w:fldChar w:fldCharType="begin"/>
      </w:r>
      <w:r w:rsidR="00657576" w:rsidRPr="00DF212D">
        <w:rPr>
          <w:rFonts w:ascii="Century Gothic" w:hAnsi="Century Gothic"/>
          <w:b/>
          <w:bCs/>
          <w:color w:val="44546A"/>
          <w:sz w:val="20"/>
          <w:szCs w:val="20"/>
        </w:rPr>
        <w:instrText xml:space="preserve"> SEQ Figure \* ARABIC \s 1 </w:instrText>
      </w:r>
      <w:r w:rsidR="00657576">
        <w:rPr>
          <w:rFonts w:ascii="Century Gothic" w:hAnsi="Century Gothic"/>
          <w:b/>
          <w:bCs/>
          <w:color w:val="44546A"/>
          <w:sz w:val="20"/>
          <w:szCs w:val="20"/>
        </w:rPr>
        <w:fldChar w:fldCharType="separate"/>
      </w:r>
      <w:r w:rsidR="001470A9">
        <w:rPr>
          <w:rFonts w:ascii="Century Gothic" w:hAnsi="Century Gothic"/>
          <w:b/>
          <w:bCs/>
          <w:noProof/>
          <w:color w:val="44546A"/>
          <w:sz w:val="20"/>
          <w:szCs w:val="20"/>
        </w:rPr>
        <w:t>5</w:t>
      </w:r>
      <w:r w:rsidR="00657576">
        <w:rPr>
          <w:rFonts w:ascii="Century Gothic" w:hAnsi="Century Gothic"/>
          <w:b/>
          <w:bCs/>
          <w:color w:val="44546A"/>
          <w:sz w:val="20"/>
          <w:szCs w:val="20"/>
        </w:rPr>
        <w:fldChar w:fldCharType="end"/>
      </w:r>
      <w:r w:rsidR="00657576" w:rsidRPr="00DF212D">
        <w:rPr>
          <w:rFonts w:ascii="Century Gothic" w:hAnsi="Century Gothic"/>
          <w:b/>
          <w:bCs/>
          <w:color w:val="44546A"/>
          <w:sz w:val="20"/>
          <w:szCs w:val="20"/>
        </w:rPr>
        <w:t xml:space="preserve"> </w:t>
      </w:r>
      <w:r w:rsidR="00657576">
        <w:rPr>
          <w:rFonts w:ascii="Century Gothic" w:hAnsi="Century Gothic"/>
          <w:b/>
          <w:bCs/>
          <w:color w:val="44546A"/>
          <w:sz w:val="20"/>
          <w:szCs w:val="20"/>
        </w:rPr>
        <w:t xml:space="preserve">Percentage of </w:t>
      </w:r>
      <w:proofErr w:type="spellStart"/>
      <w:r w:rsidR="008B1B8A">
        <w:rPr>
          <w:rFonts w:ascii="Century Gothic" w:hAnsi="Century Gothic"/>
          <w:b/>
          <w:bCs/>
          <w:color w:val="44546A"/>
          <w:sz w:val="20"/>
          <w:szCs w:val="20"/>
        </w:rPr>
        <w:t>Ngāi</w:t>
      </w:r>
      <w:proofErr w:type="spellEnd"/>
      <w:r w:rsidR="00657576" w:rsidRPr="00DF212D">
        <w:rPr>
          <w:rFonts w:ascii="Century Gothic" w:hAnsi="Century Gothic"/>
          <w:b/>
          <w:bCs/>
          <w:color w:val="44546A"/>
          <w:sz w:val="20"/>
          <w:szCs w:val="20"/>
        </w:rPr>
        <w:t xml:space="preserve"> </w:t>
      </w:r>
      <w:proofErr w:type="spellStart"/>
      <w:r w:rsidR="00657576" w:rsidRPr="00DF212D">
        <w:rPr>
          <w:rFonts w:ascii="Century Gothic" w:hAnsi="Century Gothic"/>
          <w:b/>
          <w:bCs/>
          <w:color w:val="44546A"/>
          <w:sz w:val="20"/>
          <w:szCs w:val="20"/>
        </w:rPr>
        <w:t>Tāmanuhiri</w:t>
      </w:r>
      <w:proofErr w:type="spellEnd"/>
      <w:r w:rsidR="00C31C69">
        <w:rPr>
          <w:rFonts w:ascii="Century Gothic" w:hAnsi="Century Gothic"/>
          <w:b/>
          <w:bCs/>
          <w:color w:val="44546A"/>
          <w:sz w:val="20"/>
          <w:szCs w:val="20"/>
        </w:rPr>
        <w:t xml:space="preserve"> </w:t>
      </w:r>
      <w:r w:rsidR="00657576">
        <w:rPr>
          <w:rFonts w:ascii="Century Gothic" w:hAnsi="Century Gothic"/>
          <w:b/>
          <w:bCs/>
          <w:color w:val="44546A"/>
          <w:sz w:val="20"/>
          <w:szCs w:val="20"/>
        </w:rPr>
        <w:t xml:space="preserve">and the Māori descent population speaking </w:t>
      </w:r>
      <w:proofErr w:type="spellStart"/>
      <w:proofErr w:type="gramStart"/>
      <w:r w:rsidR="00995709">
        <w:rPr>
          <w:rFonts w:ascii="Century Gothic" w:hAnsi="Century Gothic"/>
          <w:b/>
          <w:bCs/>
          <w:color w:val="44546A"/>
          <w:sz w:val="20"/>
          <w:szCs w:val="20"/>
        </w:rPr>
        <w:t>t</w:t>
      </w:r>
      <w:r w:rsidR="000B60A9">
        <w:rPr>
          <w:rFonts w:ascii="Century Gothic" w:hAnsi="Century Gothic"/>
          <w:b/>
          <w:bCs/>
          <w:color w:val="44546A"/>
          <w:sz w:val="20"/>
          <w:szCs w:val="20"/>
        </w:rPr>
        <w:t>e</w:t>
      </w:r>
      <w:proofErr w:type="spellEnd"/>
      <w:proofErr w:type="gramEnd"/>
      <w:r w:rsidR="000B60A9">
        <w:rPr>
          <w:rFonts w:ascii="Century Gothic" w:hAnsi="Century Gothic"/>
          <w:b/>
          <w:bCs/>
          <w:color w:val="44546A"/>
          <w:sz w:val="20"/>
          <w:szCs w:val="20"/>
        </w:rPr>
        <w:t xml:space="preserve"> reo Māori</w:t>
      </w:r>
      <w:r w:rsidR="00657576">
        <w:rPr>
          <w:rFonts w:ascii="Century Gothic" w:hAnsi="Century Gothic"/>
          <w:b/>
          <w:bCs/>
          <w:color w:val="44546A"/>
          <w:sz w:val="20"/>
          <w:szCs w:val="20"/>
        </w:rPr>
        <w:t xml:space="preserve"> disaggregated by sex; 2013 Census</w:t>
      </w:r>
      <w:bookmarkEnd w:id="20"/>
    </w:p>
    <w:p w14:paraId="72D31CC3" w14:textId="5902E250" w:rsidR="00954E28" w:rsidRDefault="00954E28" w:rsidP="00D43735">
      <w:pPr>
        <w:spacing w:after="0" w:line="276" w:lineRule="auto"/>
        <w:rPr>
          <w:rFonts w:ascii="Century Gothic" w:hAnsi="Century Gothic"/>
          <w:b/>
          <w:bCs/>
          <w:color w:val="44546A"/>
          <w:sz w:val="20"/>
          <w:szCs w:val="20"/>
        </w:rPr>
      </w:pPr>
    </w:p>
    <w:p w14:paraId="55D67455" w14:textId="15E40BFB" w:rsidR="00954E28" w:rsidRDefault="00954E28" w:rsidP="00D43735">
      <w:pPr>
        <w:spacing w:after="0" w:line="276" w:lineRule="auto"/>
        <w:rPr>
          <w:rFonts w:ascii="Century Gothic" w:hAnsi="Century Gothic"/>
          <w:b/>
          <w:bCs/>
          <w:color w:val="44546A"/>
          <w:sz w:val="20"/>
          <w:szCs w:val="20"/>
        </w:rPr>
      </w:pPr>
    </w:p>
    <w:p w14:paraId="7C503DF9" w14:textId="41EA7389" w:rsidR="00657576" w:rsidRDefault="00657576" w:rsidP="00D43735">
      <w:pPr>
        <w:spacing w:after="0" w:line="276" w:lineRule="auto"/>
        <w:rPr>
          <w:rFonts w:ascii="Century Gothic" w:hAnsi="Century Gothic"/>
          <w:b/>
          <w:bCs/>
          <w:color w:val="44546A"/>
          <w:sz w:val="20"/>
          <w:szCs w:val="20"/>
        </w:rPr>
      </w:pPr>
    </w:p>
    <w:p w14:paraId="023F8915" w14:textId="6FA61BB3" w:rsidR="00657576" w:rsidRPr="00B65158" w:rsidRDefault="00657576" w:rsidP="0065189F">
      <w:pPr>
        <w:pStyle w:val="Heading2"/>
        <w:numPr>
          <w:ilvl w:val="1"/>
          <w:numId w:val="2"/>
        </w:numPr>
        <w:pBdr>
          <w:bottom w:val="single" w:sz="4" w:space="1" w:color="42AAC2"/>
        </w:pBdr>
        <w:ind w:left="567" w:hanging="567"/>
        <w:rPr>
          <w:rFonts w:ascii="Century Gothic" w:hAnsi="Century Gothic"/>
          <w:b/>
          <w:bCs/>
          <w:color w:val="1F4D78"/>
        </w:rPr>
      </w:pPr>
      <w:bookmarkStart w:id="21" w:name="_Toc491783046"/>
      <w:r>
        <w:rPr>
          <w:rFonts w:ascii="Century Gothic" w:hAnsi="Century Gothic"/>
          <w:b/>
          <w:bCs/>
          <w:color w:val="1F4D78"/>
        </w:rPr>
        <w:t>Age profile</w:t>
      </w:r>
      <w:bookmarkEnd w:id="21"/>
    </w:p>
    <w:p w14:paraId="327E072F" w14:textId="2B10C350" w:rsidR="00657576" w:rsidRDefault="00657576" w:rsidP="006001B0">
      <w:pPr>
        <w:spacing w:after="0" w:line="276" w:lineRule="auto"/>
        <w:rPr>
          <w:rFonts w:ascii="Century Gothic" w:hAnsi="Century Gothic"/>
          <w:b/>
          <w:bCs/>
          <w:color w:val="44546A"/>
          <w:sz w:val="20"/>
          <w:szCs w:val="20"/>
        </w:rPr>
      </w:pPr>
    </w:p>
    <w:p w14:paraId="33CDBE73" w14:textId="667A2546" w:rsidR="005E23B7" w:rsidRPr="00D752F0" w:rsidRDefault="00D43735" w:rsidP="005E23B7">
      <w:pPr>
        <w:spacing w:after="0" w:line="360" w:lineRule="auto"/>
        <w:rPr>
          <w:rFonts w:ascii="Century Gothic" w:hAnsi="Century Gothic"/>
          <w:sz w:val="21"/>
          <w:szCs w:val="21"/>
        </w:rPr>
      </w:pPr>
      <w:r w:rsidRPr="00D752F0">
        <w:rPr>
          <w:rFonts w:ascii="Century Gothic" w:hAnsi="Century Gothic"/>
          <w:sz w:val="21"/>
          <w:szCs w:val="21"/>
        </w:rPr>
        <w:t xml:space="preserve">Age is also a very important demographic consideration and the graphs below show the age-sex structure of </w:t>
      </w:r>
      <w:proofErr w:type="spellStart"/>
      <w:r w:rsidRPr="00D752F0">
        <w:rPr>
          <w:rFonts w:ascii="Century Gothic" w:hAnsi="Century Gothic"/>
          <w:sz w:val="21"/>
          <w:szCs w:val="21"/>
        </w:rPr>
        <w:t>Ngāi</w:t>
      </w:r>
      <w:proofErr w:type="spellEnd"/>
      <w:r w:rsidRPr="00D752F0">
        <w:rPr>
          <w:rFonts w:ascii="Century Gothic" w:hAnsi="Century Gothic"/>
          <w:sz w:val="21"/>
          <w:szCs w:val="21"/>
        </w:rPr>
        <w:t xml:space="preserve"> </w:t>
      </w:r>
      <w:proofErr w:type="spellStart"/>
      <w:r w:rsidRPr="00D752F0">
        <w:rPr>
          <w:rFonts w:ascii="Century Gothic" w:hAnsi="Century Gothic"/>
          <w:sz w:val="21"/>
          <w:szCs w:val="21"/>
        </w:rPr>
        <w:t>T</w:t>
      </w:r>
      <w:r w:rsidR="00D752F0" w:rsidRPr="00D752F0">
        <w:rPr>
          <w:rFonts w:ascii="Century Gothic" w:hAnsi="Century Gothic"/>
          <w:sz w:val="21"/>
          <w:szCs w:val="21"/>
        </w:rPr>
        <w:t>āmanuhiri</w:t>
      </w:r>
      <w:proofErr w:type="spellEnd"/>
      <w:r w:rsidR="00D752F0" w:rsidRPr="00D752F0">
        <w:rPr>
          <w:rFonts w:ascii="Century Gothic" w:hAnsi="Century Gothic"/>
          <w:sz w:val="21"/>
          <w:szCs w:val="21"/>
        </w:rPr>
        <w:t xml:space="preserve"> overall; the </w:t>
      </w:r>
      <w:proofErr w:type="spellStart"/>
      <w:r w:rsidR="00D752F0" w:rsidRPr="00D752F0">
        <w:rPr>
          <w:rFonts w:ascii="Century Gothic" w:hAnsi="Century Gothic"/>
          <w:sz w:val="21"/>
          <w:szCs w:val="21"/>
        </w:rPr>
        <w:t>Ngāi</w:t>
      </w:r>
      <w:proofErr w:type="spellEnd"/>
      <w:r w:rsidR="00D752F0" w:rsidRPr="00D752F0">
        <w:rPr>
          <w:rFonts w:ascii="Century Gothic" w:hAnsi="Century Gothic"/>
          <w:sz w:val="21"/>
          <w:szCs w:val="21"/>
        </w:rPr>
        <w:t xml:space="preserve"> </w:t>
      </w:r>
      <w:proofErr w:type="spellStart"/>
      <w:r w:rsidR="00D752F0" w:rsidRPr="00D752F0">
        <w:rPr>
          <w:rFonts w:ascii="Century Gothic" w:hAnsi="Century Gothic"/>
          <w:sz w:val="21"/>
          <w:szCs w:val="21"/>
        </w:rPr>
        <w:t>Tāma</w:t>
      </w:r>
      <w:r w:rsidRPr="00D752F0">
        <w:rPr>
          <w:rFonts w:ascii="Century Gothic" w:hAnsi="Century Gothic"/>
          <w:sz w:val="21"/>
          <w:szCs w:val="21"/>
        </w:rPr>
        <w:t>n</w:t>
      </w:r>
      <w:r w:rsidR="00D752F0" w:rsidRPr="00D752F0">
        <w:rPr>
          <w:rFonts w:ascii="Century Gothic" w:hAnsi="Century Gothic"/>
          <w:sz w:val="21"/>
          <w:szCs w:val="21"/>
        </w:rPr>
        <w:t>u</w:t>
      </w:r>
      <w:r w:rsidRPr="00D752F0">
        <w:rPr>
          <w:rFonts w:ascii="Century Gothic" w:hAnsi="Century Gothic"/>
          <w:sz w:val="21"/>
          <w:szCs w:val="21"/>
        </w:rPr>
        <w:t>hiri</w:t>
      </w:r>
      <w:proofErr w:type="spellEnd"/>
      <w:r w:rsidRPr="00D752F0">
        <w:rPr>
          <w:rFonts w:ascii="Century Gothic" w:hAnsi="Century Gothic"/>
          <w:sz w:val="21"/>
          <w:szCs w:val="21"/>
        </w:rPr>
        <w:t xml:space="preserve"> </w:t>
      </w:r>
      <w:proofErr w:type="spellStart"/>
      <w:proofErr w:type="gramStart"/>
      <w:r w:rsidR="00E010B2" w:rsidRPr="00D752F0">
        <w:rPr>
          <w:rFonts w:ascii="Century Gothic" w:hAnsi="Century Gothic"/>
          <w:sz w:val="21"/>
          <w:szCs w:val="21"/>
        </w:rPr>
        <w:t>t</w:t>
      </w:r>
      <w:r w:rsidR="000B60A9" w:rsidRPr="00D752F0">
        <w:rPr>
          <w:rFonts w:ascii="Century Gothic" w:hAnsi="Century Gothic"/>
          <w:sz w:val="21"/>
          <w:szCs w:val="21"/>
        </w:rPr>
        <w:t>e</w:t>
      </w:r>
      <w:proofErr w:type="spellEnd"/>
      <w:proofErr w:type="gramEnd"/>
      <w:r w:rsidR="000B60A9" w:rsidRPr="00D752F0">
        <w:rPr>
          <w:rFonts w:ascii="Century Gothic" w:hAnsi="Century Gothic"/>
          <w:sz w:val="21"/>
          <w:szCs w:val="21"/>
        </w:rPr>
        <w:t xml:space="preserve"> reo Māori</w:t>
      </w:r>
      <w:r w:rsidRPr="00D752F0">
        <w:rPr>
          <w:rFonts w:ascii="Century Gothic" w:hAnsi="Century Gothic"/>
          <w:sz w:val="21"/>
          <w:szCs w:val="21"/>
        </w:rPr>
        <w:t xml:space="preserve"> speaking population; and Māori descendants. Due to the small numbers involved, we can only use functional age groups rather than </w:t>
      </w:r>
      <w:r w:rsidR="00D752F0" w:rsidRPr="00D752F0">
        <w:rPr>
          <w:rFonts w:ascii="Century Gothic" w:hAnsi="Century Gothic"/>
          <w:sz w:val="21"/>
          <w:szCs w:val="21"/>
        </w:rPr>
        <w:t xml:space="preserve">single year </w:t>
      </w:r>
      <w:r w:rsidRPr="00D752F0">
        <w:rPr>
          <w:rFonts w:ascii="Century Gothic" w:hAnsi="Century Gothic"/>
          <w:sz w:val="21"/>
          <w:szCs w:val="21"/>
        </w:rPr>
        <w:t xml:space="preserve">age or five-year age groups. </w:t>
      </w:r>
      <w:r w:rsidR="005E23B7" w:rsidRPr="00D752F0">
        <w:rPr>
          <w:rFonts w:ascii="Century Gothic" w:hAnsi="Century Gothic"/>
          <w:sz w:val="21"/>
          <w:szCs w:val="21"/>
        </w:rPr>
        <w:t xml:space="preserve"> In 2013 th</w:t>
      </w:r>
      <w:r w:rsidRPr="00D752F0">
        <w:rPr>
          <w:rFonts w:ascii="Century Gothic" w:hAnsi="Century Gothic"/>
          <w:sz w:val="21"/>
          <w:szCs w:val="21"/>
        </w:rPr>
        <w:t>e age structure</w:t>
      </w:r>
      <w:r w:rsidR="005E23B7" w:rsidRPr="00D752F0">
        <w:rPr>
          <w:rFonts w:ascii="Century Gothic" w:hAnsi="Century Gothic"/>
          <w:sz w:val="21"/>
          <w:szCs w:val="21"/>
        </w:rPr>
        <w:t xml:space="preserve"> of </w:t>
      </w:r>
      <w:proofErr w:type="spellStart"/>
      <w:proofErr w:type="gramStart"/>
      <w:r w:rsidR="005E23B7" w:rsidRPr="00D752F0">
        <w:rPr>
          <w:rFonts w:ascii="Century Gothic" w:hAnsi="Century Gothic"/>
          <w:sz w:val="21"/>
          <w:szCs w:val="21"/>
        </w:rPr>
        <w:t>te</w:t>
      </w:r>
      <w:proofErr w:type="spellEnd"/>
      <w:proofErr w:type="gramEnd"/>
      <w:r w:rsidR="005E23B7" w:rsidRPr="00D752F0">
        <w:rPr>
          <w:rFonts w:ascii="Century Gothic" w:hAnsi="Century Gothic"/>
          <w:sz w:val="21"/>
          <w:szCs w:val="21"/>
        </w:rPr>
        <w:t xml:space="preserve"> reo speakers was similar to </w:t>
      </w:r>
      <w:proofErr w:type="spellStart"/>
      <w:r w:rsidR="005E23B7" w:rsidRPr="00D752F0">
        <w:rPr>
          <w:rFonts w:ascii="Century Gothic" w:hAnsi="Century Gothic"/>
          <w:sz w:val="21"/>
          <w:szCs w:val="21"/>
        </w:rPr>
        <w:t>Ngāi</w:t>
      </w:r>
      <w:proofErr w:type="spellEnd"/>
      <w:r w:rsidR="005E23B7" w:rsidRPr="00D752F0">
        <w:rPr>
          <w:rFonts w:ascii="Century Gothic" w:hAnsi="Century Gothic"/>
          <w:sz w:val="21"/>
          <w:szCs w:val="21"/>
        </w:rPr>
        <w:t xml:space="preserve"> </w:t>
      </w:r>
      <w:proofErr w:type="spellStart"/>
      <w:r w:rsidR="005E23B7" w:rsidRPr="00D752F0">
        <w:rPr>
          <w:rFonts w:ascii="Century Gothic" w:hAnsi="Century Gothic"/>
          <w:sz w:val="21"/>
          <w:szCs w:val="21"/>
        </w:rPr>
        <w:t>Tāmanuhiri</w:t>
      </w:r>
      <w:proofErr w:type="spellEnd"/>
      <w:r w:rsidR="005E23B7" w:rsidRPr="00D752F0">
        <w:rPr>
          <w:rFonts w:ascii="Century Gothic" w:hAnsi="Century Gothic"/>
          <w:sz w:val="21"/>
          <w:szCs w:val="21"/>
        </w:rPr>
        <w:t xml:space="preserve"> overall</w:t>
      </w:r>
      <w:r w:rsidRPr="00D752F0">
        <w:rPr>
          <w:rFonts w:ascii="Century Gothic" w:hAnsi="Century Gothic"/>
          <w:sz w:val="21"/>
          <w:szCs w:val="21"/>
        </w:rPr>
        <w:t xml:space="preserve">, </w:t>
      </w:r>
      <w:r w:rsidR="005E23B7" w:rsidRPr="00D752F0">
        <w:rPr>
          <w:rFonts w:ascii="Century Gothic" w:hAnsi="Century Gothic"/>
          <w:sz w:val="21"/>
          <w:szCs w:val="21"/>
        </w:rPr>
        <w:t>but with</w:t>
      </w:r>
      <w:r w:rsidRPr="00D752F0">
        <w:rPr>
          <w:rFonts w:ascii="Century Gothic" w:hAnsi="Century Gothic"/>
          <w:sz w:val="21"/>
          <w:szCs w:val="21"/>
        </w:rPr>
        <w:t xml:space="preserve"> a smaller share of </w:t>
      </w:r>
      <w:proofErr w:type="spellStart"/>
      <w:r w:rsidRPr="00D752F0">
        <w:rPr>
          <w:rFonts w:ascii="Century Gothic" w:hAnsi="Century Gothic"/>
          <w:sz w:val="21"/>
          <w:szCs w:val="21"/>
        </w:rPr>
        <w:t>tamariki</w:t>
      </w:r>
      <w:proofErr w:type="spellEnd"/>
      <w:r w:rsidRPr="00D752F0">
        <w:rPr>
          <w:rFonts w:ascii="Century Gothic" w:hAnsi="Century Gothic"/>
          <w:sz w:val="21"/>
          <w:szCs w:val="21"/>
        </w:rPr>
        <w:t xml:space="preserve"> </w:t>
      </w:r>
      <w:r w:rsidR="005E23B7" w:rsidRPr="00D752F0">
        <w:rPr>
          <w:rFonts w:ascii="Century Gothic" w:hAnsi="Century Gothic"/>
          <w:sz w:val="21"/>
          <w:szCs w:val="21"/>
        </w:rPr>
        <w:t>(0-14 year olds)</w:t>
      </w:r>
      <w:r w:rsidR="006451FE" w:rsidRPr="00D752F0">
        <w:rPr>
          <w:rFonts w:ascii="Century Gothic" w:hAnsi="Century Gothic"/>
          <w:sz w:val="21"/>
          <w:szCs w:val="21"/>
        </w:rPr>
        <w:t xml:space="preserve">, and a larger share </w:t>
      </w:r>
      <w:r w:rsidR="005E23B7" w:rsidRPr="00D752F0">
        <w:rPr>
          <w:rFonts w:ascii="Century Gothic" w:hAnsi="Century Gothic"/>
          <w:sz w:val="21"/>
          <w:szCs w:val="21"/>
        </w:rPr>
        <w:t xml:space="preserve">of </w:t>
      </w:r>
      <w:proofErr w:type="spellStart"/>
      <w:r w:rsidR="005E23B7" w:rsidRPr="00D752F0">
        <w:rPr>
          <w:rFonts w:ascii="Century Gothic" w:hAnsi="Century Gothic"/>
          <w:sz w:val="21"/>
          <w:szCs w:val="21"/>
        </w:rPr>
        <w:t>kaumātua</w:t>
      </w:r>
      <w:proofErr w:type="spellEnd"/>
      <w:r w:rsidR="005E23B7" w:rsidRPr="00D752F0">
        <w:rPr>
          <w:rFonts w:ascii="Century Gothic" w:hAnsi="Century Gothic"/>
          <w:sz w:val="21"/>
          <w:szCs w:val="21"/>
        </w:rPr>
        <w:t xml:space="preserve"> (nearly 11 per cent compared to 6.8 per cent for the total iwi)</w:t>
      </w:r>
      <w:r w:rsidRPr="00D752F0">
        <w:rPr>
          <w:rFonts w:ascii="Century Gothic" w:hAnsi="Century Gothic"/>
          <w:sz w:val="21"/>
          <w:szCs w:val="21"/>
        </w:rPr>
        <w:t>.</w:t>
      </w:r>
      <w:r w:rsidR="006451FE" w:rsidRPr="00D752F0">
        <w:rPr>
          <w:rFonts w:ascii="Century Gothic" w:hAnsi="Century Gothic"/>
          <w:sz w:val="21"/>
          <w:szCs w:val="21"/>
        </w:rPr>
        <w:t xml:space="preserve"> </w:t>
      </w:r>
      <w:r w:rsidR="005E23B7" w:rsidRPr="00D752F0">
        <w:rPr>
          <w:rFonts w:ascii="Century Gothic" w:hAnsi="Century Gothic"/>
          <w:sz w:val="21"/>
          <w:szCs w:val="21"/>
        </w:rPr>
        <w:t xml:space="preserve">The broad age group with the largest number of </w:t>
      </w:r>
      <w:proofErr w:type="spellStart"/>
      <w:proofErr w:type="gramStart"/>
      <w:r w:rsidR="005E23B7" w:rsidRPr="00D752F0">
        <w:rPr>
          <w:rFonts w:ascii="Century Gothic" w:hAnsi="Century Gothic"/>
          <w:sz w:val="21"/>
          <w:szCs w:val="21"/>
        </w:rPr>
        <w:t>te</w:t>
      </w:r>
      <w:proofErr w:type="spellEnd"/>
      <w:proofErr w:type="gramEnd"/>
      <w:r w:rsidR="005E23B7" w:rsidRPr="00D752F0">
        <w:rPr>
          <w:rFonts w:ascii="Century Gothic" w:hAnsi="Century Gothic"/>
          <w:sz w:val="21"/>
          <w:szCs w:val="21"/>
        </w:rPr>
        <w:t xml:space="preserve"> reo speakers was 25-44 year olds (n=180), followed by </w:t>
      </w:r>
      <w:proofErr w:type="spellStart"/>
      <w:r w:rsidR="005E23B7" w:rsidRPr="00D752F0">
        <w:rPr>
          <w:rFonts w:ascii="Century Gothic" w:hAnsi="Century Gothic"/>
          <w:sz w:val="21"/>
          <w:szCs w:val="21"/>
        </w:rPr>
        <w:t>tamariki</w:t>
      </w:r>
      <w:proofErr w:type="spellEnd"/>
      <w:r w:rsidR="005E23B7" w:rsidRPr="00D752F0">
        <w:rPr>
          <w:rFonts w:ascii="Century Gothic" w:hAnsi="Century Gothic"/>
          <w:sz w:val="21"/>
          <w:szCs w:val="21"/>
        </w:rPr>
        <w:t xml:space="preserve"> (n=180) and 45-64 year olds (n=162).</w:t>
      </w:r>
    </w:p>
    <w:p w14:paraId="1D6C4879" w14:textId="77777777" w:rsidR="00D43735" w:rsidRPr="00DE7843" w:rsidRDefault="00D43735" w:rsidP="00DE7843">
      <w:pPr>
        <w:spacing w:after="0" w:line="360" w:lineRule="auto"/>
        <w:rPr>
          <w:rFonts w:ascii="Century Gothic" w:hAnsi="Century Gothic"/>
          <w:sz w:val="21"/>
          <w:szCs w:val="21"/>
        </w:rPr>
      </w:pPr>
    </w:p>
    <w:p w14:paraId="6CA70FC6" w14:textId="15107A3E" w:rsidR="00657576" w:rsidRPr="00DF212D" w:rsidRDefault="00657576" w:rsidP="00D752F0">
      <w:pPr>
        <w:spacing w:after="0" w:line="276" w:lineRule="auto"/>
        <w:rPr>
          <w:rFonts w:ascii="Century Gothic" w:eastAsiaTheme="majorEastAsia" w:hAnsi="Century Gothic" w:cstheme="majorBidi"/>
          <w:b/>
          <w:bCs/>
          <w:color w:val="4EAFC6"/>
          <w:sz w:val="21"/>
          <w:szCs w:val="21"/>
          <w:lang w:eastAsia="en-US"/>
        </w:rPr>
      </w:pPr>
      <w:bookmarkStart w:id="22" w:name="_Toc491783065"/>
      <w:r w:rsidRPr="00DF212D">
        <w:rPr>
          <w:rFonts w:ascii="Century Gothic" w:hAnsi="Century Gothic"/>
          <w:b/>
          <w:bCs/>
          <w:color w:val="44546A"/>
          <w:sz w:val="20"/>
          <w:szCs w:val="20"/>
        </w:rPr>
        <w:t xml:space="preserve">Figure </w:t>
      </w:r>
      <w:r>
        <w:rPr>
          <w:rFonts w:ascii="Century Gothic" w:hAnsi="Century Gothic"/>
          <w:b/>
          <w:bCs/>
          <w:color w:val="44546A"/>
          <w:sz w:val="20"/>
          <w:szCs w:val="20"/>
        </w:rPr>
        <w:fldChar w:fldCharType="begin"/>
      </w:r>
      <w:r w:rsidRPr="00DF212D">
        <w:rPr>
          <w:rFonts w:ascii="Century Gothic" w:hAnsi="Century Gothic"/>
          <w:b/>
          <w:bCs/>
          <w:color w:val="44546A"/>
          <w:sz w:val="20"/>
          <w:szCs w:val="20"/>
        </w:rPr>
        <w:instrText xml:space="preserve"> STYLEREF 1 \s </w:instrText>
      </w:r>
      <w:r>
        <w:rPr>
          <w:rFonts w:ascii="Century Gothic" w:hAnsi="Century Gothic"/>
          <w:b/>
          <w:bCs/>
          <w:color w:val="44546A"/>
          <w:sz w:val="20"/>
          <w:szCs w:val="20"/>
        </w:rPr>
        <w:fldChar w:fldCharType="separate"/>
      </w:r>
      <w:r w:rsidR="001470A9">
        <w:rPr>
          <w:rFonts w:ascii="Century Gothic" w:hAnsi="Century Gothic" w:hint="cs"/>
          <w:b/>
          <w:bCs/>
          <w:noProof/>
          <w:color w:val="44546A"/>
          <w:sz w:val="20"/>
          <w:szCs w:val="20"/>
          <w:cs/>
        </w:rPr>
        <w:t>‎</w:t>
      </w:r>
      <w:r w:rsidR="001470A9">
        <w:rPr>
          <w:rFonts w:ascii="Century Gothic" w:hAnsi="Century Gothic"/>
          <w:b/>
          <w:bCs/>
          <w:noProof/>
          <w:color w:val="44546A"/>
          <w:sz w:val="20"/>
          <w:szCs w:val="20"/>
        </w:rPr>
        <w:t>1</w:t>
      </w:r>
      <w:r>
        <w:rPr>
          <w:rFonts w:ascii="Century Gothic" w:hAnsi="Century Gothic"/>
          <w:b/>
          <w:bCs/>
          <w:color w:val="44546A"/>
          <w:sz w:val="20"/>
          <w:szCs w:val="20"/>
        </w:rPr>
        <w:fldChar w:fldCharType="end"/>
      </w:r>
      <w:r w:rsidRPr="00DF212D">
        <w:rPr>
          <w:rFonts w:ascii="Century Gothic" w:hAnsi="Century Gothic"/>
          <w:b/>
          <w:bCs/>
          <w:color w:val="44546A"/>
          <w:sz w:val="20"/>
          <w:szCs w:val="20"/>
        </w:rPr>
        <w:t>.</w:t>
      </w:r>
      <w:r>
        <w:rPr>
          <w:rFonts w:ascii="Century Gothic" w:hAnsi="Century Gothic"/>
          <w:b/>
          <w:bCs/>
          <w:color w:val="44546A"/>
          <w:sz w:val="20"/>
          <w:szCs w:val="20"/>
        </w:rPr>
        <w:fldChar w:fldCharType="begin"/>
      </w:r>
      <w:r w:rsidRPr="00DF212D">
        <w:rPr>
          <w:rFonts w:ascii="Century Gothic" w:hAnsi="Century Gothic"/>
          <w:b/>
          <w:bCs/>
          <w:color w:val="44546A"/>
          <w:sz w:val="20"/>
          <w:szCs w:val="20"/>
        </w:rPr>
        <w:instrText xml:space="preserve"> SEQ Figure \* ARABIC \s 1 </w:instrText>
      </w:r>
      <w:r>
        <w:rPr>
          <w:rFonts w:ascii="Century Gothic" w:hAnsi="Century Gothic"/>
          <w:b/>
          <w:bCs/>
          <w:color w:val="44546A"/>
          <w:sz w:val="20"/>
          <w:szCs w:val="20"/>
        </w:rPr>
        <w:fldChar w:fldCharType="separate"/>
      </w:r>
      <w:r w:rsidR="001470A9">
        <w:rPr>
          <w:rFonts w:ascii="Century Gothic" w:hAnsi="Century Gothic"/>
          <w:b/>
          <w:bCs/>
          <w:noProof/>
          <w:color w:val="44546A"/>
          <w:sz w:val="20"/>
          <w:szCs w:val="20"/>
        </w:rPr>
        <w:t>6</w:t>
      </w:r>
      <w:r>
        <w:rPr>
          <w:rFonts w:ascii="Century Gothic" w:hAnsi="Century Gothic"/>
          <w:b/>
          <w:bCs/>
          <w:color w:val="44546A"/>
          <w:sz w:val="20"/>
          <w:szCs w:val="20"/>
        </w:rPr>
        <w:fldChar w:fldCharType="end"/>
      </w:r>
      <w:r w:rsidRPr="00DF212D">
        <w:rPr>
          <w:rFonts w:ascii="Century Gothic" w:hAnsi="Century Gothic"/>
          <w:b/>
          <w:bCs/>
          <w:color w:val="44546A"/>
          <w:sz w:val="20"/>
          <w:szCs w:val="20"/>
        </w:rPr>
        <w:t xml:space="preserve"> </w:t>
      </w:r>
      <w:r>
        <w:rPr>
          <w:rFonts w:ascii="Century Gothic" w:hAnsi="Century Gothic"/>
          <w:b/>
          <w:bCs/>
          <w:color w:val="44546A"/>
          <w:sz w:val="20"/>
          <w:szCs w:val="20"/>
        </w:rPr>
        <w:t>Age-sex profile</w:t>
      </w:r>
      <w:r w:rsidRPr="00DF212D">
        <w:rPr>
          <w:rFonts w:ascii="Century Gothic" w:hAnsi="Century Gothic"/>
          <w:b/>
          <w:bCs/>
          <w:color w:val="44546A"/>
          <w:sz w:val="20"/>
          <w:szCs w:val="20"/>
        </w:rPr>
        <w:t xml:space="preserve"> of </w:t>
      </w:r>
      <w:proofErr w:type="spellStart"/>
      <w:r w:rsidR="008B1B8A">
        <w:rPr>
          <w:rFonts w:ascii="Century Gothic" w:hAnsi="Century Gothic"/>
          <w:b/>
          <w:bCs/>
          <w:color w:val="44546A"/>
          <w:sz w:val="20"/>
          <w:szCs w:val="20"/>
        </w:rPr>
        <w:t>Ngāi</w:t>
      </w:r>
      <w:proofErr w:type="spellEnd"/>
      <w:r w:rsidRPr="00DF212D">
        <w:rPr>
          <w:rFonts w:ascii="Century Gothic" w:hAnsi="Century Gothic"/>
          <w:b/>
          <w:bCs/>
          <w:color w:val="44546A"/>
          <w:sz w:val="20"/>
          <w:szCs w:val="20"/>
        </w:rPr>
        <w:t xml:space="preserve"> </w:t>
      </w:r>
      <w:proofErr w:type="spellStart"/>
      <w:r w:rsidRPr="00DF212D">
        <w:rPr>
          <w:rFonts w:ascii="Century Gothic" w:hAnsi="Century Gothic"/>
          <w:b/>
          <w:bCs/>
          <w:color w:val="44546A"/>
          <w:sz w:val="20"/>
          <w:szCs w:val="20"/>
        </w:rPr>
        <w:t>Tāmanuhiri</w:t>
      </w:r>
      <w:proofErr w:type="spellEnd"/>
      <w:r w:rsidR="00C31C69">
        <w:rPr>
          <w:rFonts w:ascii="Century Gothic" w:hAnsi="Century Gothic"/>
          <w:b/>
          <w:bCs/>
          <w:color w:val="44546A"/>
          <w:sz w:val="20"/>
          <w:szCs w:val="20"/>
        </w:rPr>
        <w:t xml:space="preserve"> </w:t>
      </w:r>
      <w:r>
        <w:rPr>
          <w:rFonts w:ascii="Century Gothic" w:hAnsi="Century Gothic"/>
          <w:b/>
          <w:bCs/>
          <w:color w:val="44546A"/>
          <w:sz w:val="20"/>
          <w:szCs w:val="20"/>
        </w:rPr>
        <w:t xml:space="preserve">and </w:t>
      </w:r>
      <w:proofErr w:type="spellStart"/>
      <w:r w:rsidR="008B1B8A">
        <w:rPr>
          <w:rFonts w:ascii="Century Gothic" w:hAnsi="Century Gothic"/>
          <w:b/>
          <w:bCs/>
          <w:color w:val="44546A"/>
          <w:sz w:val="20"/>
          <w:szCs w:val="20"/>
        </w:rPr>
        <w:t>Ngāi</w:t>
      </w:r>
      <w:proofErr w:type="spellEnd"/>
      <w:r w:rsidRPr="00DF212D">
        <w:rPr>
          <w:rFonts w:ascii="Century Gothic" w:hAnsi="Century Gothic"/>
          <w:b/>
          <w:bCs/>
          <w:color w:val="44546A"/>
          <w:sz w:val="20"/>
          <w:szCs w:val="20"/>
        </w:rPr>
        <w:t xml:space="preserve"> </w:t>
      </w:r>
      <w:proofErr w:type="spellStart"/>
      <w:r w:rsidRPr="00DF212D">
        <w:rPr>
          <w:rFonts w:ascii="Century Gothic" w:hAnsi="Century Gothic"/>
          <w:b/>
          <w:bCs/>
          <w:color w:val="44546A"/>
          <w:sz w:val="20"/>
          <w:szCs w:val="20"/>
        </w:rPr>
        <w:t>Tāmanuhiri</w:t>
      </w:r>
      <w:proofErr w:type="spellEnd"/>
      <w:r>
        <w:rPr>
          <w:rFonts w:ascii="Century Gothic" w:hAnsi="Century Gothic"/>
          <w:b/>
          <w:bCs/>
          <w:color w:val="44546A"/>
          <w:sz w:val="20"/>
          <w:szCs w:val="20"/>
        </w:rPr>
        <w:t xml:space="preserve"> </w:t>
      </w:r>
      <w:proofErr w:type="spellStart"/>
      <w:proofErr w:type="gramStart"/>
      <w:r w:rsidR="00D752F0">
        <w:rPr>
          <w:rFonts w:ascii="Century Gothic" w:hAnsi="Century Gothic"/>
          <w:b/>
          <w:bCs/>
          <w:color w:val="44546A"/>
          <w:sz w:val="20"/>
          <w:szCs w:val="20"/>
        </w:rPr>
        <w:t>t</w:t>
      </w:r>
      <w:r w:rsidR="000B60A9">
        <w:rPr>
          <w:rFonts w:ascii="Century Gothic" w:hAnsi="Century Gothic"/>
          <w:b/>
          <w:bCs/>
          <w:color w:val="44546A"/>
          <w:sz w:val="20"/>
          <w:szCs w:val="20"/>
        </w:rPr>
        <w:t>e</w:t>
      </w:r>
      <w:proofErr w:type="spellEnd"/>
      <w:proofErr w:type="gramEnd"/>
      <w:r w:rsidR="000B60A9">
        <w:rPr>
          <w:rFonts w:ascii="Century Gothic" w:hAnsi="Century Gothic"/>
          <w:b/>
          <w:bCs/>
          <w:color w:val="44546A"/>
          <w:sz w:val="20"/>
          <w:szCs w:val="20"/>
        </w:rPr>
        <w:t xml:space="preserve"> reo Māori</w:t>
      </w:r>
      <w:r w:rsidR="00C31C69">
        <w:rPr>
          <w:rFonts w:ascii="Century Gothic" w:hAnsi="Century Gothic"/>
          <w:b/>
          <w:bCs/>
          <w:color w:val="44546A"/>
          <w:sz w:val="20"/>
          <w:szCs w:val="20"/>
        </w:rPr>
        <w:t xml:space="preserve"> speakers </w:t>
      </w:r>
      <w:r>
        <w:rPr>
          <w:rFonts w:ascii="Century Gothic" w:hAnsi="Century Gothic"/>
          <w:b/>
          <w:bCs/>
          <w:color w:val="44546A"/>
          <w:sz w:val="20"/>
          <w:szCs w:val="20"/>
        </w:rPr>
        <w:t>compared with the total Māori descent population as recorded at the 2013 Census</w:t>
      </w:r>
      <w:bookmarkEnd w:id="22"/>
    </w:p>
    <w:p w14:paraId="6015177D" w14:textId="77777777" w:rsidR="00657576" w:rsidRPr="00DF212D" w:rsidRDefault="00657576" w:rsidP="00657576">
      <w:pPr>
        <w:spacing w:after="0" w:line="276" w:lineRule="auto"/>
        <w:rPr>
          <w:rFonts w:ascii="Century Gothic" w:hAnsi="Century Gothic"/>
          <w:b/>
          <w:bCs/>
          <w:color w:val="44546A"/>
          <w:sz w:val="20"/>
          <w:szCs w:val="20"/>
        </w:rPr>
      </w:pPr>
    </w:p>
    <w:p w14:paraId="2432FA4B" w14:textId="590FDB65" w:rsidR="00657576" w:rsidRPr="00D752F0" w:rsidRDefault="00CD20AA" w:rsidP="00D752F0">
      <w:pPr>
        <w:spacing w:after="0" w:line="360" w:lineRule="auto"/>
        <w:rPr>
          <w:rFonts w:ascii="Century Gothic" w:hAnsi="Century Gothic"/>
          <w:sz w:val="21"/>
          <w:szCs w:val="21"/>
        </w:rPr>
      </w:pPr>
      <w:r w:rsidRPr="00CD20AA">
        <w:rPr>
          <w:noProof/>
        </w:rPr>
        <w:drawing>
          <wp:anchor distT="0" distB="0" distL="114300" distR="114300" simplePos="0" relativeHeight="252345344" behindDoc="1" locked="0" layoutInCell="1" allowOverlap="1" wp14:anchorId="5E155DB0" wp14:editId="5731C5B5">
            <wp:simplePos x="0" y="0"/>
            <wp:positionH relativeFrom="column">
              <wp:posOffset>3479</wp:posOffset>
            </wp:positionH>
            <wp:positionV relativeFrom="paragraph">
              <wp:posOffset>3534</wp:posOffset>
            </wp:positionV>
            <wp:extent cx="6224400" cy="2559600"/>
            <wp:effectExtent l="0" t="0" r="5080" b="0"/>
            <wp:wrapTight wrapText="bothSides">
              <wp:wrapPolygon edited="0">
                <wp:start x="0" y="0"/>
                <wp:lineTo x="0" y="21386"/>
                <wp:lineTo x="21552" y="21386"/>
                <wp:lineTo x="21552"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24400" cy="255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0061BA" w14:textId="56F2A0D2" w:rsidR="00D43735" w:rsidRPr="00D752F0" w:rsidRDefault="00D43735" w:rsidP="00D752F0">
      <w:pPr>
        <w:spacing w:after="0" w:line="360" w:lineRule="auto"/>
        <w:rPr>
          <w:rFonts w:ascii="Century Gothic" w:hAnsi="Century Gothic"/>
          <w:sz w:val="21"/>
          <w:szCs w:val="21"/>
        </w:rPr>
      </w:pPr>
      <w:r w:rsidRPr="00D752F0">
        <w:rPr>
          <w:rFonts w:ascii="Century Gothic" w:hAnsi="Century Gothic"/>
          <w:sz w:val="21"/>
          <w:szCs w:val="21"/>
        </w:rPr>
        <w:t xml:space="preserve">To get a better sense of </w:t>
      </w:r>
      <w:proofErr w:type="spellStart"/>
      <w:proofErr w:type="gramStart"/>
      <w:r w:rsidR="00D316E9" w:rsidRPr="00D752F0">
        <w:rPr>
          <w:rFonts w:ascii="Century Gothic" w:hAnsi="Century Gothic"/>
          <w:sz w:val="21"/>
          <w:szCs w:val="21"/>
        </w:rPr>
        <w:t>t</w:t>
      </w:r>
      <w:r w:rsidR="000B60A9" w:rsidRPr="00D752F0">
        <w:rPr>
          <w:rFonts w:ascii="Century Gothic" w:hAnsi="Century Gothic"/>
          <w:sz w:val="21"/>
          <w:szCs w:val="21"/>
        </w:rPr>
        <w:t>e</w:t>
      </w:r>
      <w:proofErr w:type="spellEnd"/>
      <w:proofErr w:type="gramEnd"/>
      <w:r w:rsidR="000B60A9" w:rsidRPr="00D752F0">
        <w:rPr>
          <w:rFonts w:ascii="Century Gothic" w:hAnsi="Century Gothic"/>
          <w:sz w:val="21"/>
          <w:szCs w:val="21"/>
        </w:rPr>
        <w:t xml:space="preserve"> reo Māori</w:t>
      </w:r>
      <w:r w:rsidRPr="00D752F0">
        <w:rPr>
          <w:rFonts w:ascii="Century Gothic" w:hAnsi="Century Gothic"/>
          <w:sz w:val="21"/>
          <w:szCs w:val="21"/>
        </w:rPr>
        <w:t xml:space="preserve"> competency at different ages, Figure 1.7 shows age-specific </w:t>
      </w:r>
      <w:proofErr w:type="spellStart"/>
      <w:r w:rsidR="00D316E9" w:rsidRPr="00D752F0">
        <w:rPr>
          <w:rFonts w:ascii="Century Gothic" w:hAnsi="Century Gothic"/>
          <w:sz w:val="21"/>
          <w:szCs w:val="21"/>
        </w:rPr>
        <w:t>t</w:t>
      </w:r>
      <w:r w:rsidR="000B60A9" w:rsidRPr="00D752F0">
        <w:rPr>
          <w:rFonts w:ascii="Century Gothic" w:hAnsi="Century Gothic"/>
          <w:sz w:val="21"/>
          <w:szCs w:val="21"/>
        </w:rPr>
        <w:t>e</w:t>
      </w:r>
      <w:proofErr w:type="spellEnd"/>
      <w:r w:rsidR="000B60A9" w:rsidRPr="00D752F0">
        <w:rPr>
          <w:rFonts w:ascii="Century Gothic" w:hAnsi="Century Gothic"/>
          <w:sz w:val="21"/>
          <w:szCs w:val="21"/>
        </w:rPr>
        <w:t xml:space="preserve"> reo Māori</w:t>
      </w:r>
      <w:r w:rsidRPr="00D752F0">
        <w:rPr>
          <w:rFonts w:ascii="Century Gothic" w:hAnsi="Century Gothic"/>
          <w:sz w:val="21"/>
          <w:szCs w:val="21"/>
        </w:rPr>
        <w:t xml:space="preserve"> speaking rates</w:t>
      </w:r>
      <w:r w:rsidR="00D600CF" w:rsidRPr="00D752F0">
        <w:rPr>
          <w:rFonts w:ascii="Century Gothic" w:hAnsi="Century Gothic"/>
          <w:sz w:val="21"/>
          <w:szCs w:val="21"/>
        </w:rPr>
        <w:t xml:space="preserve">: </w:t>
      </w:r>
      <w:r w:rsidRPr="00D752F0">
        <w:rPr>
          <w:rFonts w:ascii="Century Gothic" w:hAnsi="Century Gothic"/>
          <w:sz w:val="21"/>
          <w:szCs w:val="21"/>
        </w:rPr>
        <w:t xml:space="preserve">the proportion of </w:t>
      </w:r>
      <w:proofErr w:type="spellStart"/>
      <w:r w:rsidRPr="00D752F0">
        <w:rPr>
          <w:rFonts w:ascii="Century Gothic" w:hAnsi="Century Gothic"/>
          <w:sz w:val="21"/>
          <w:szCs w:val="21"/>
        </w:rPr>
        <w:t>Ngāi</w:t>
      </w:r>
      <w:proofErr w:type="spellEnd"/>
      <w:r w:rsidRPr="00D752F0">
        <w:rPr>
          <w:rFonts w:ascii="Century Gothic" w:hAnsi="Century Gothic"/>
          <w:sz w:val="21"/>
          <w:szCs w:val="21"/>
        </w:rPr>
        <w:t xml:space="preserve"> </w:t>
      </w:r>
      <w:proofErr w:type="spellStart"/>
      <w:r w:rsidRPr="00D752F0">
        <w:rPr>
          <w:rFonts w:ascii="Century Gothic" w:hAnsi="Century Gothic"/>
          <w:sz w:val="21"/>
          <w:szCs w:val="21"/>
        </w:rPr>
        <w:t>Tāmanuhiri</w:t>
      </w:r>
      <w:proofErr w:type="spellEnd"/>
      <w:r w:rsidRPr="00D752F0">
        <w:rPr>
          <w:rFonts w:ascii="Century Gothic" w:hAnsi="Century Gothic"/>
          <w:sz w:val="21"/>
          <w:szCs w:val="21"/>
        </w:rPr>
        <w:t xml:space="preserve"> within each functional age group that could </w:t>
      </w:r>
      <w:proofErr w:type="spellStart"/>
      <w:r w:rsidRPr="00D752F0">
        <w:rPr>
          <w:rFonts w:ascii="Century Gothic" w:hAnsi="Century Gothic"/>
          <w:sz w:val="21"/>
          <w:szCs w:val="21"/>
        </w:rPr>
        <w:t>k</w:t>
      </w:r>
      <w:r w:rsidR="00D752F0" w:rsidRPr="00D752F0">
        <w:rPr>
          <w:rFonts w:ascii="Century Gothic" w:hAnsi="Century Gothic"/>
          <w:sz w:val="21"/>
          <w:szCs w:val="21"/>
        </w:rPr>
        <w:t>ō</w:t>
      </w:r>
      <w:r w:rsidRPr="00D752F0">
        <w:rPr>
          <w:rFonts w:ascii="Century Gothic" w:hAnsi="Century Gothic"/>
          <w:sz w:val="21"/>
          <w:szCs w:val="21"/>
        </w:rPr>
        <w:t>rero</w:t>
      </w:r>
      <w:proofErr w:type="spellEnd"/>
      <w:r w:rsidRPr="00D752F0">
        <w:rPr>
          <w:rFonts w:ascii="Century Gothic" w:hAnsi="Century Gothic"/>
          <w:sz w:val="21"/>
          <w:szCs w:val="21"/>
        </w:rPr>
        <w:t xml:space="preserve"> Māori on a daily basis. Comparative data are also shown for the Māori descent population.</w:t>
      </w:r>
    </w:p>
    <w:p w14:paraId="6A5D3CBD" w14:textId="77777777" w:rsidR="00D43735" w:rsidRPr="00D752F0" w:rsidRDefault="00D43735" w:rsidP="00D43735">
      <w:pPr>
        <w:spacing w:after="0" w:line="360" w:lineRule="auto"/>
        <w:rPr>
          <w:rFonts w:ascii="Century Gothic" w:hAnsi="Century Gothic"/>
          <w:sz w:val="21"/>
          <w:szCs w:val="21"/>
        </w:rPr>
      </w:pPr>
    </w:p>
    <w:p w14:paraId="39ED347D" w14:textId="1A38F43E" w:rsidR="006451FE" w:rsidRPr="00D752F0" w:rsidRDefault="00741D1E" w:rsidP="00D752F0">
      <w:pPr>
        <w:spacing w:after="0" w:line="360" w:lineRule="auto"/>
        <w:rPr>
          <w:rFonts w:ascii="Century Gothic" w:hAnsi="Century Gothic"/>
          <w:sz w:val="21"/>
          <w:szCs w:val="21"/>
        </w:rPr>
      </w:pPr>
      <w:r w:rsidRPr="00D752F0">
        <w:rPr>
          <w:rFonts w:ascii="Century Gothic" w:hAnsi="Century Gothic"/>
          <w:sz w:val="21"/>
          <w:szCs w:val="21"/>
        </w:rPr>
        <w:t>The ability to</w:t>
      </w:r>
      <w:r w:rsidR="00D43735" w:rsidRPr="00D752F0">
        <w:rPr>
          <w:rFonts w:ascii="Century Gothic" w:hAnsi="Century Gothic"/>
          <w:sz w:val="21"/>
          <w:szCs w:val="21"/>
        </w:rPr>
        <w:t xml:space="preserve"> speak </w:t>
      </w:r>
      <w:proofErr w:type="spellStart"/>
      <w:proofErr w:type="gramStart"/>
      <w:r w:rsidR="00D316E9" w:rsidRPr="00D752F0">
        <w:rPr>
          <w:rFonts w:ascii="Century Gothic" w:hAnsi="Century Gothic"/>
          <w:sz w:val="21"/>
          <w:szCs w:val="21"/>
        </w:rPr>
        <w:t>t</w:t>
      </w:r>
      <w:r w:rsidR="000B60A9" w:rsidRPr="00D752F0">
        <w:rPr>
          <w:rFonts w:ascii="Century Gothic" w:hAnsi="Century Gothic"/>
          <w:sz w:val="21"/>
          <w:szCs w:val="21"/>
        </w:rPr>
        <w:t>e</w:t>
      </w:r>
      <w:proofErr w:type="spellEnd"/>
      <w:proofErr w:type="gramEnd"/>
      <w:r w:rsidR="000B60A9" w:rsidRPr="00D752F0">
        <w:rPr>
          <w:rFonts w:ascii="Century Gothic" w:hAnsi="Century Gothic"/>
          <w:sz w:val="21"/>
          <w:szCs w:val="21"/>
        </w:rPr>
        <w:t xml:space="preserve"> reo Māori</w:t>
      </w:r>
      <w:r w:rsidR="00D316E9" w:rsidRPr="00D752F0">
        <w:rPr>
          <w:rFonts w:ascii="Century Gothic" w:hAnsi="Century Gothic"/>
          <w:sz w:val="21"/>
          <w:szCs w:val="21"/>
        </w:rPr>
        <w:t xml:space="preserve"> varied</w:t>
      </w:r>
      <w:r w:rsidR="00D43735" w:rsidRPr="00D752F0">
        <w:rPr>
          <w:rFonts w:ascii="Century Gothic" w:hAnsi="Century Gothic"/>
          <w:sz w:val="21"/>
          <w:szCs w:val="21"/>
        </w:rPr>
        <w:t xml:space="preserve"> significantly by age. </w:t>
      </w:r>
      <w:r w:rsidR="00D600CF" w:rsidRPr="00D752F0">
        <w:rPr>
          <w:rFonts w:ascii="Century Gothic" w:hAnsi="Century Gothic"/>
          <w:sz w:val="21"/>
          <w:szCs w:val="21"/>
        </w:rPr>
        <w:t xml:space="preserve">In 2013 nearly </w:t>
      </w:r>
      <w:r w:rsidR="00ED7699" w:rsidRPr="00D752F0">
        <w:rPr>
          <w:rFonts w:ascii="Century Gothic" w:hAnsi="Century Gothic"/>
          <w:sz w:val="21"/>
          <w:szCs w:val="21"/>
        </w:rPr>
        <w:t xml:space="preserve">two out of every three </w:t>
      </w:r>
      <w:proofErr w:type="spellStart"/>
      <w:r w:rsidR="00ED7699" w:rsidRPr="00D752F0">
        <w:rPr>
          <w:rFonts w:ascii="Century Gothic" w:hAnsi="Century Gothic"/>
          <w:sz w:val="21"/>
          <w:szCs w:val="21"/>
        </w:rPr>
        <w:t>Ngāi</w:t>
      </w:r>
      <w:proofErr w:type="spellEnd"/>
      <w:r w:rsidR="00ED7699" w:rsidRPr="00D752F0">
        <w:rPr>
          <w:rFonts w:ascii="Century Gothic" w:hAnsi="Century Gothic"/>
          <w:sz w:val="21"/>
          <w:szCs w:val="21"/>
        </w:rPr>
        <w:t xml:space="preserve"> </w:t>
      </w:r>
      <w:proofErr w:type="spellStart"/>
      <w:r w:rsidR="00ED7699" w:rsidRPr="00D752F0">
        <w:rPr>
          <w:rFonts w:ascii="Century Gothic" w:hAnsi="Century Gothic"/>
          <w:sz w:val="21"/>
          <w:szCs w:val="21"/>
        </w:rPr>
        <w:t>Tāmanuhiri</w:t>
      </w:r>
      <w:proofErr w:type="spellEnd"/>
      <w:r w:rsidR="00ED7699" w:rsidRPr="00D752F0">
        <w:rPr>
          <w:rFonts w:ascii="Century Gothic" w:hAnsi="Century Gothic"/>
          <w:sz w:val="21"/>
          <w:szCs w:val="21"/>
        </w:rPr>
        <w:t xml:space="preserve"> aged 65 years or older </w:t>
      </w:r>
      <w:r w:rsidR="00D600CF" w:rsidRPr="00D752F0">
        <w:rPr>
          <w:rFonts w:ascii="Century Gothic" w:hAnsi="Century Gothic"/>
          <w:sz w:val="21"/>
          <w:szCs w:val="21"/>
        </w:rPr>
        <w:t xml:space="preserve">could </w:t>
      </w:r>
      <w:proofErr w:type="spellStart"/>
      <w:r w:rsidR="00D600CF" w:rsidRPr="00D752F0">
        <w:rPr>
          <w:rFonts w:ascii="Century Gothic" w:hAnsi="Century Gothic"/>
          <w:sz w:val="21"/>
          <w:szCs w:val="21"/>
        </w:rPr>
        <w:t>kōrero</w:t>
      </w:r>
      <w:proofErr w:type="spellEnd"/>
      <w:r w:rsidR="00ED7699" w:rsidRPr="00D752F0">
        <w:rPr>
          <w:rFonts w:ascii="Century Gothic" w:hAnsi="Century Gothic"/>
          <w:sz w:val="21"/>
          <w:szCs w:val="21"/>
        </w:rPr>
        <w:t xml:space="preserve"> Māori (n=78). This </w:t>
      </w:r>
      <w:r w:rsidR="00D600CF" w:rsidRPr="00D752F0">
        <w:rPr>
          <w:rFonts w:ascii="Century Gothic" w:hAnsi="Century Gothic"/>
          <w:sz w:val="21"/>
          <w:szCs w:val="21"/>
        </w:rPr>
        <w:t>was</w:t>
      </w:r>
      <w:r w:rsidR="00D43735" w:rsidRPr="00D752F0">
        <w:rPr>
          <w:rFonts w:ascii="Century Gothic" w:hAnsi="Century Gothic"/>
          <w:sz w:val="21"/>
          <w:szCs w:val="21"/>
        </w:rPr>
        <w:t xml:space="preserve"> more than double the </w:t>
      </w:r>
      <w:proofErr w:type="spellStart"/>
      <w:proofErr w:type="gramStart"/>
      <w:r w:rsidR="000452D5" w:rsidRPr="00D752F0">
        <w:rPr>
          <w:rFonts w:ascii="Century Gothic" w:hAnsi="Century Gothic"/>
          <w:sz w:val="21"/>
          <w:szCs w:val="21"/>
        </w:rPr>
        <w:t>t</w:t>
      </w:r>
      <w:r w:rsidR="000B60A9" w:rsidRPr="00D752F0">
        <w:rPr>
          <w:rFonts w:ascii="Century Gothic" w:hAnsi="Century Gothic"/>
          <w:sz w:val="21"/>
          <w:szCs w:val="21"/>
        </w:rPr>
        <w:t>e</w:t>
      </w:r>
      <w:proofErr w:type="spellEnd"/>
      <w:proofErr w:type="gramEnd"/>
      <w:r w:rsidR="000B60A9" w:rsidRPr="00D752F0">
        <w:rPr>
          <w:rFonts w:ascii="Century Gothic" w:hAnsi="Century Gothic"/>
          <w:sz w:val="21"/>
          <w:szCs w:val="21"/>
        </w:rPr>
        <w:t xml:space="preserve"> reo Māori</w:t>
      </w:r>
      <w:r w:rsidR="00D43735" w:rsidRPr="00D752F0">
        <w:rPr>
          <w:rFonts w:ascii="Century Gothic" w:hAnsi="Century Gothic"/>
          <w:sz w:val="21"/>
          <w:szCs w:val="21"/>
        </w:rPr>
        <w:t xml:space="preserve"> speaking proportion among older M</w:t>
      </w:r>
      <w:r w:rsidR="00D752F0" w:rsidRPr="00D752F0">
        <w:rPr>
          <w:rFonts w:ascii="Century Gothic" w:hAnsi="Century Gothic"/>
          <w:sz w:val="21"/>
          <w:szCs w:val="21"/>
        </w:rPr>
        <w:t>ā</w:t>
      </w:r>
      <w:r w:rsidR="00D43735" w:rsidRPr="00D752F0">
        <w:rPr>
          <w:rFonts w:ascii="Century Gothic" w:hAnsi="Century Gothic"/>
          <w:sz w:val="21"/>
          <w:szCs w:val="21"/>
        </w:rPr>
        <w:t>ori generally</w:t>
      </w:r>
      <w:r w:rsidR="00D600CF" w:rsidRPr="00D752F0">
        <w:rPr>
          <w:rFonts w:ascii="Century Gothic" w:hAnsi="Century Gothic"/>
          <w:sz w:val="21"/>
          <w:szCs w:val="21"/>
        </w:rPr>
        <w:t xml:space="preserve"> (31 per cent). It should be noted, however, tha</w:t>
      </w:r>
      <w:r w:rsidR="00D752F0">
        <w:rPr>
          <w:rFonts w:ascii="Century Gothic" w:hAnsi="Century Gothic"/>
          <w:sz w:val="21"/>
          <w:szCs w:val="21"/>
        </w:rPr>
        <w:t>t</w:t>
      </w:r>
      <w:r w:rsidR="00D600CF" w:rsidRPr="00D752F0">
        <w:rPr>
          <w:rFonts w:ascii="Century Gothic" w:hAnsi="Century Gothic"/>
          <w:sz w:val="21"/>
          <w:szCs w:val="21"/>
        </w:rPr>
        <w:t xml:space="preserve"> the numbers are relatively small, and thus subject to error. Generally, the ability of </w:t>
      </w:r>
      <w:proofErr w:type="spellStart"/>
      <w:r w:rsidR="00D600CF" w:rsidRPr="00D752F0">
        <w:rPr>
          <w:rFonts w:ascii="Century Gothic" w:hAnsi="Century Gothic"/>
          <w:sz w:val="21"/>
          <w:szCs w:val="21"/>
        </w:rPr>
        <w:t>Ngāi</w:t>
      </w:r>
      <w:proofErr w:type="spellEnd"/>
      <w:r w:rsidR="00D600CF" w:rsidRPr="00D752F0">
        <w:rPr>
          <w:rFonts w:ascii="Century Gothic" w:hAnsi="Century Gothic"/>
          <w:sz w:val="21"/>
          <w:szCs w:val="21"/>
        </w:rPr>
        <w:t xml:space="preserve"> </w:t>
      </w:r>
      <w:proofErr w:type="spellStart"/>
      <w:r w:rsidR="00D600CF" w:rsidRPr="00D752F0">
        <w:rPr>
          <w:rFonts w:ascii="Century Gothic" w:hAnsi="Century Gothic"/>
          <w:sz w:val="21"/>
          <w:szCs w:val="21"/>
        </w:rPr>
        <w:t>Tāmanuhiri</w:t>
      </w:r>
      <w:proofErr w:type="spellEnd"/>
      <w:r w:rsidR="00D600CF" w:rsidRPr="00D752F0">
        <w:rPr>
          <w:rFonts w:ascii="Century Gothic" w:hAnsi="Century Gothic"/>
          <w:sz w:val="21"/>
          <w:szCs w:val="21"/>
        </w:rPr>
        <w:t xml:space="preserve"> to speak </w:t>
      </w:r>
      <w:proofErr w:type="spellStart"/>
      <w:proofErr w:type="gramStart"/>
      <w:r w:rsidR="000452D5" w:rsidRPr="00D752F0">
        <w:rPr>
          <w:rFonts w:ascii="Century Gothic" w:hAnsi="Century Gothic"/>
          <w:sz w:val="21"/>
          <w:szCs w:val="21"/>
        </w:rPr>
        <w:t>t</w:t>
      </w:r>
      <w:r w:rsidR="000B60A9" w:rsidRPr="00D752F0">
        <w:rPr>
          <w:rFonts w:ascii="Century Gothic" w:hAnsi="Century Gothic"/>
          <w:sz w:val="21"/>
          <w:szCs w:val="21"/>
        </w:rPr>
        <w:t>e</w:t>
      </w:r>
      <w:proofErr w:type="spellEnd"/>
      <w:proofErr w:type="gramEnd"/>
      <w:r w:rsidR="000B60A9" w:rsidRPr="00D752F0">
        <w:rPr>
          <w:rFonts w:ascii="Century Gothic" w:hAnsi="Century Gothic"/>
          <w:sz w:val="21"/>
          <w:szCs w:val="21"/>
        </w:rPr>
        <w:t xml:space="preserve"> reo Māori</w:t>
      </w:r>
      <w:r w:rsidR="00D600CF" w:rsidRPr="00D752F0">
        <w:rPr>
          <w:rFonts w:ascii="Century Gothic" w:hAnsi="Century Gothic"/>
          <w:sz w:val="21"/>
          <w:szCs w:val="21"/>
        </w:rPr>
        <w:t xml:space="preserve"> increased with age, although the share was slightly higher among 25-44 year olds than 45-64 year olds.</w:t>
      </w:r>
      <w:r w:rsidR="00D43735" w:rsidRPr="00D752F0">
        <w:rPr>
          <w:rFonts w:ascii="Century Gothic" w:hAnsi="Century Gothic"/>
          <w:sz w:val="21"/>
          <w:szCs w:val="21"/>
        </w:rPr>
        <w:t xml:space="preserve"> </w:t>
      </w:r>
    </w:p>
    <w:p w14:paraId="42C6C94D" w14:textId="21EB9480" w:rsidR="00D43735" w:rsidRPr="00D600CF" w:rsidRDefault="00D43735" w:rsidP="00D600CF">
      <w:pPr>
        <w:spacing w:after="0" w:line="360" w:lineRule="auto"/>
        <w:rPr>
          <w:rFonts w:ascii="Century Gothic" w:hAnsi="Century Gothic"/>
          <w:b/>
          <w:bCs/>
          <w:color w:val="44546A"/>
          <w:sz w:val="21"/>
          <w:szCs w:val="21"/>
        </w:rPr>
      </w:pPr>
    </w:p>
    <w:p w14:paraId="6E425582" w14:textId="77777777" w:rsidR="00741D1E" w:rsidRPr="00D600CF" w:rsidRDefault="00741D1E" w:rsidP="00D600CF">
      <w:pPr>
        <w:spacing w:after="0" w:line="360" w:lineRule="auto"/>
        <w:rPr>
          <w:rFonts w:ascii="Century Gothic" w:hAnsi="Century Gothic"/>
          <w:b/>
          <w:bCs/>
          <w:color w:val="44546A"/>
          <w:sz w:val="21"/>
          <w:szCs w:val="21"/>
        </w:rPr>
      </w:pPr>
    </w:p>
    <w:p w14:paraId="02B0CBC3" w14:textId="1B82503E" w:rsidR="00581B0B" w:rsidRDefault="00581B0B" w:rsidP="00D752F0">
      <w:pPr>
        <w:spacing w:after="0" w:line="276" w:lineRule="auto"/>
        <w:rPr>
          <w:rFonts w:ascii="Century Gothic" w:hAnsi="Century Gothic"/>
          <w:b/>
          <w:bCs/>
          <w:color w:val="44546A"/>
          <w:sz w:val="20"/>
          <w:szCs w:val="20"/>
        </w:rPr>
      </w:pPr>
      <w:bookmarkStart w:id="23" w:name="_Toc491783066"/>
      <w:r w:rsidRPr="00EC703D">
        <w:rPr>
          <w:noProof/>
        </w:rPr>
        <w:lastRenderedPageBreak/>
        <w:drawing>
          <wp:anchor distT="0" distB="0" distL="114300" distR="114300" simplePos="0" relativeHeight="252347392" behindDoc="1" locked="0" layoutInCell="1" allowOverlap="1" wp14:anchorId="2B6CD072" wp14:editId="08856209">
            <wp:simplePos x="0" y="0"/>
            <wp:positionH relativeFrom="column">
              <wp:posOffset>-2772</wp:posOffset>
            </wp:positionH>
            <wp:positionV relativeFrom="paragraph">
              <wp:posOffset>456463</wp:posOffset>
            </wp:positionV>
            <wp:extent cx="6001200" cy="2638800"/>
            <wp:effectExtent l="0" t="0" r="0" b="9525"/>
            <wp:wrapTight wrapText="bothSides">
              <wp:wrapPolygon edited="0">
                <wp:start x="0" y="0"/>
                <wp:lineTo x="0" y="21522"/>
                <wp:lineTo x="21531" y="21522"/>
                <wp:lineTo x="21531" y="0"/>
                <wp:lineTo x="0" y="0"/>
              </wp:wrapPolygon>
            </wp:wrapTight>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01200" cy="263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212D">
        <w:rPr>
          <w:rFonts w:ascii="Century Gothic" w:hAnsi="Century Gothic"/>
          <w:b/>
          <w:bCs/>
          <w:color w:val="44546A"/>
          <w:sz w:val="20"/>
          <w:szCs w:val="20"/>
        </w:rPr>
        <w:t xml:space="preserve">Figure </w:t>
      </w:r>
      <w:r>
        <w:rPr>
          <w:rFonts w:ascii="Century Gothic" w:hAnsi="Century Gothic"/>
          <w:b/>
          <w:bCs/>
          <w:color w:val="44546A"/>
          <w:sz w:val="20"/>
          <w:szCs w:val="20"/>
        </w:rPr>
        <w:fldChar w:fldCharType="begin"/>
      </w:r>
      <w:r w:rsidRPr="00DF212D">
        <w:rPr>
          <w:rFonts w:ascii="Century Gothic" w:hAnsi="Century Gothic"/>
          <w:b/>
          <w:bCs/>
          <w:color w:val="44546A"/>
          <w:sz w:val="20"/>
          <w:szCs w:val="20"/>
        </w:rPr>
        <w:instrText xml:space="preserve"> STYLEREF 1 \s </w:instrText>
      </w:r>
      <w:r>
        <w:rPr>
          <w:rFonts w:ascii="Century Gothic" w:hAnsi="Century Gothic"/>
          <w:b/>
          <w:bCs/>
          <w:color w:val="44546A"/>
          <w:sz w:val="20"/>
          <w:szCs w:val="20"/>
        </w:rPr>
        <w:fldChar w:fldCharType="separate"/>
      </w:r>
      <w:r w:rsidR="001470A9">
        <w:rPr>
          <w:rFonts w:ascii="Century Gothic" w:hAnsi="Century Gothic" w:hint="cs"/>
          <w:b/>
          <w:bCs/>
          <w:noProof/>
          <w:color w:val="44546A"/>
          <w:sz w:val="20"/>
          <w:szCs w:val="20"/>
          <w:cs/>
        </w:rPr>
        <w:t>‎</w:t>
      </w:r>
      <w:r w:rsidR="001470A9">
        <w:rPr>
          <w:rFonts w:ascii="Century Gothic" w:hAnsi="Century Gothic"/>
          <w:b/>
          <w:bCs/>
          <w:noProof/>
          <w:color w:val="44546A"/>
          <w:sz w:val="20"/>
          <w:szCs w:val="20"/>
        </w:rPr>
        <w:t>1</w:t>
      </w:r>
      <w:r>
        <w:rPr>
          <w:rFonts w:ascii="Century Gothic" w:hAnsi="Century Gothic"/>
          <w:b/>
          <w:bCs/>
          <w:color w:val="44546A"/>
          <w:sz w:val="20"/>
          <w:szCs w:val="20"/>
        </w:rPr>
        <w:fldChar w:fldCharType="end"/>
      </w:r>
      <w:r w:rsidRPr="00DF212D">
        <w:rPr>
          <w:rFonts w:ascii="Century Gothic" w:hAnsi="Century Gothic"/>
          <w:b/>
          <w:bCs/>
          <w:color w:val="44546A"/>
          <w:sz w:val="20"/>
          <w:szCs w:val="20"/>
        </w:rPr>
        <w:t>.</w:t>
      </w:r>
      <w:r>
        <w:rPr>
          <w:rFonts w:ascii="Century Gothic" w:hAnsi="Century Gothic"/>
          <w:b/>
          <w:bCs/>
          <w:color w:val="44546A"/>
          <w:sz w:val="20"/>
          <w:szCs w:val="20"/>
        </w:rPr>
        <w:fldChar w:fldCharType="begin"/>
      </w:r>
      <w:r w:rsidRPr="00DF212D">
        <w:rPr>
          <w:rFonts w:ascii="Century Gothic" w:hAnsi="Century Gothic"/>
          <w:b/>
          <w:bCs/>
          <w:color w:val="44546A"/>
          <w:sz w:val="20"/>
          <w:szCs w:val="20"/>
        </w:rPr>
        <w:instrText xml:space="preserve"> SEQ Figure \* ARABIC \s 1 </w:instrText>
      </w:r>
      <w:r>
        <w:rPr>
          <w:rFonts w:ascii="Century Gothic" w:hAnsi="Century Gothic"/>
          <w:b/>
          <w:bCs/>
          <w:color w:val="44546A"/>
          <w:sz w:val="20"/>
          <w:szCs w:val="20"/>
        </w:rPr>
        <w:fldChar w:fldCharType="separate"/>
      </w:r>
      <w:r w:rsidR="001470A9">
        <w:rPr>
          <w:rFonts w:ascii="Century Gothic" w:hAnsi="Century Gothic"/>
          <w:b/>
          <w:bCs/>
          <w:noProof/>
          <w:color w:val="44546A"/>
          <w:sz w:val="20"/>
          <w:szCs w:val="20"/>
        </w:rPr>
        <w:t>7</w:t>
      </w:r>
      <w:r>
        <w:rPr>
          <w:rFonts w:ascii="Century Gothic" w:hAnsi="Century Gothic"/>
          <w:b/>
          <w:bCs/>
          <w:color w:val="44546A"/>
          <w:sz w:val="20"/>
          <w:szCs w:val="20"/>
        </w:rPr>
        <w:fldChar w:fldCharType="end"/>
      </w:r>
      <w:r w:rsidRPr="00DF212D">
        <w:rPr>
          <w:rFonts w:ascii="Century Gothic" w:hAnsi="Century Gothic"/>
          <w:b/>
          <w:bCs/>
          <w:color w:val="44546A"/>
          <w:sz w:val="20"/>
          <w:szCs w:val="20"/>
        </w:rPr>
        <w:t xml:space="preserve"> </w:t>
      </w:r>
      <w:r w:rsidR="00C31C69">
        <w:rPr>
          <w:rFonts w:ascii="Century Gothic" w:hAnsi="Century Gothic"/>
          <w:b/>
          <w:bCs/>
          <w:color w:val="44546A"/>
          <w:sz w:val="20"/>
          <w:szCs w:val="20"/>
        </w:rPr>
        <w:t xml:space="preserve">Broad age-specific rates of </w:t>
      </w:r>
      <w:proofErr w:type="spellStart"/>
      <w:proofErr w:type="gramStart"/>
      <w:r w:rsidR="00D752F0">
        <w:rPr>
          <w:rFonts w:ascii="Century Gothic" w:hAnsi="Century Gothic"/>
          <w:b/>
          <w:bCs/>
          <w:color w:val="44546A"/>
          <w:sz w:val="20"/>
          <w:szCs w:val="20"/>
        </w:rPr>
        <w:t>t</w:t>
      </w:r>
      <w:r w:rsidR="000B60A9">
        <w:rPr>
          <w:rFonts w:ascii="Century Gothic" w:hAnsi="Century Gothic"/>
          <w:b/>
          <w:bCs/>
          <w:color w:val="44546A"/>
          <w:sz w:val="20"/>
          <w:szCs w:val="20"/>
        </w:rPr>
        <w:t>e</w:t>
      </w:r>
      <w:proofErr w:type="spellEnd"/>
      <w:proofErr w:type="gramEnd"/>
      <w:r w:rsidR="000B60A9">
        <w:rPr>
          <w:rFonts w:ascii="Century Gothic" w:hAnsi="Century Gothic"/>
          <w:b/>
          <w:bCs/>
          <w:color w:val="44546A"/>
          <w:sz w:val="20"/>
          <w:szCs w:val="20"/>
        </w:rPr>
        <w:t xml:space="preserve"> reo Māori</w:t>
      </w:r>
      <w:r w:rsidR="00C31C69">
        <w:rPr>
          <w:rFonts w:ascii="Century Gothic" w:hAnsi="Century Gothic"/>
          <w:b/>
          <w:bCs/>
          <w:color w:val="44546A"/>
          <w:sz w:val="20"/>
          <w:szCs w:val="20"/>
        </w:rPr>
        <w:t xml:space="preserve"> speakers,</w:t>
      </w:r>
      <w:r>
        <w:rPr>
          <w:rFonts w:ascii="Century Gothic" w:hAnsi="Century Gothic"/>
          <w:b/>
          <w:bCs/>
          <w:color w:val="44546A"/>
          <w:sz w:val="20"/>
          <w:szCs w:val="20"/>
        </w:rPr>
        <w:t xml:space="preserve"> </w:t>
      </w:r>
      <w:proofErr w:type="spellStart"/>
      <w:r w:rsidR="008B1B8A">
        <w:rPr>
          <w:rFonts w:ascii="Century Gothic" w:hAnsi="Century Gothic"/>
          <w:b/>
          <w:bCs/>
          <w:color w:val="44546A"/>
          <w:sz w:val="20"/>
          <w:szCs w:val="20"/>
        </w:rPr>
        <w:t>Ngāi</w:t>
      </w:r>
      <w:proofErr w:type="spellEnd"/>
      <w:r w:rsidRPr="00DF212D">
        <w:rPr>
          <w:rFonts w:ascii="Century Gothic" w:hAnsi="Century Gothic"/>
          <w:b/>
          <w:bCs/>
          <w:color w:val="44546A"/>
          <w:sz w:val="20"/>
          <w:szCs w:val="20"/>
        </w:rPr>
        <w:t xml:space="preserve"> </w:t>
      </w:r>
      <w:proofErr w:type="spellStart"/>
      <w:r w:rsidRPr="00DF212D">
        <w:rPr>
          <w:rFonts w:ascii="Century Gothic" w:hAnsi="Century Gothic"/>
          <w:b/>
          <w:bCs/>
          <w:color w:val="44546A"/>
          <w:sz w:val="20"/>
          <w:szCs w:val="20"/>
        </w:rPr>
        <w:t>Tāmanuhiri</w:t>
      </w:r>
      <w:proofErr w:type="spellEnd"/>
      <w:r>
        <w:rPr>
          <w:rFonts w:ascii="Century Gothic" w:hAnsi="Century Gothic"/>
          <w:b/>
          <w:bCs/>
          <w:color w:val="44546A"/>
          <w:sz w:val="20"/>
          <w:szCs w:val="20"/>
        </w:rPr>
        <w:t xml:space="preserve"> </w:t>
      </w:r>
      <w:r w:rsidR="00C31C69">
        <w:rPr>
          <w:rFonts w:ascii="Century Gothic" w:hAnsi="Century Gothic"/>
          <w:b/>
          <w:bCs/>
          <w:color w:val="44546A"/>
          <w:sz w:val="20"/>
          <w:szCs w:val="20"/>
        </w:rPr>
        <w:t xml:space="preserve">and Māori </w:t>
      </w:r>
      <w:r>
        <w:rPr>
          <w:rFonts w:ascii="Century Gothic" w:hAnsi="Century Gothic"/>
          <w:b/>
          <w:bCs/>
          <w:color w:val="44546A"/>
          <w:sz w:val="20"/>
          <w:szCs w:val="20"/>
        </w:rPr>
        <w:t>descent population; 2013 Census</w:t>
      </w:r>
      <w:bookmarkEnd w:id="23"/>
    </w:p>
    <w:p w14:paraId="1D49D3F9" w14:textId="77777777" w:rsidR="00D752F0" w:rsidRDefault="00D752F0" w:rsidP="000452D5">
      <w:pPr>
        <w:spacing w:after="0" w:line="360" w:lineRule="auto"/>
        <w:rPr>
          <w:rFonts w:ascii="Century Gothic" w:hAnsi="Century Gothic"/>
          <w:sz w:val="21"/>
          <w:szCs w:val="21"/>
        </w:rPr>
      </w:pPr>
    </w:p>
    <w:p w14:paraId="28D7D57A" w14:textId="7726B603" w:rsidR="008C631A" w:rsidRDefault="00EA2783" w:rsidP="00D752F0">
      <w:pPr>
        <w:spacing w:after="0" w:line="360" w:lineRule="auto"/>
        <w:rPr>
          <w:rFonts w:ascii="Century Gothic" w:hAnsi="Century Gothic"/>
          <w:sz w:val="21"/>
          <w:szCs w:val="21"/>
        </w:rPr>
      </w:pPr>
      <w:r>
        <w:rPr>
          <w:rFonts w:ascii="Century Gothic" w:hAnsi="Century Gothic"/>
          <w:sz w:val="21"/>
          <w:szCs w:val="21"/>
        </w:rPr>
        <w:t>As well as understand</w:t>
      </w:r>
      <w:r w:rsidR="00D752F0">
        <w:rPr>
          <w:rFonts w:ascii="Century Gothic" w:hAnsi="Century Gothic"/>
          <w:sz w:val="21"/>
          <w:szCs w:val="21"/>
        </w:rPr>
        <w:t>ing</w:t>
      </w:r>
      <w:r w:rsidR="008C631A">
        <w:rPr>
          <w:rFonts w:ascii="Century Gothic" w:hAnsi="Century Gothic"/>
          <w:sz w:val="21"/>
          <w:szCs w:val="21"/>
        </w:rPr>
        <w:t xml:space="preserve"> </w:t>
      </w:r>
      <w:r>
        <w:rPr>
          <w:rFonts w:ascii="Century Gothic" w:hAnsi="Century Gothic"/>
          <w:sz w:val="21"/>
          <w:szCs w:val="21"/>
        </w:rPr>
        <w:t xml:space="preserve">the age-specific </w:t>
      </w:r>
      <w:r w:rsidR="000452D5">
        <w:rPr>
          <w:rFonts w:ascii="Century Gothic" w:hAnsi="Century Gothic"/>
          <w:sz w:val="21"/>
          <w:szCs w:val="21"/>
        </w:rPr>
        <w:t xml:space="preserve">rates </w:t>
      </w:r>
      <w:r w:rsidR="008C631A">
        <w:rPr>
          <w:rFonts w:ascii="Century Gothic" w:hAnsi="Century Gothic"/>
          <w:sz w:val="21"/>
          <w:szCs w:val="21"/>
        </w:rPr>
        <w:t xml:space="preserve">of </w:t>
      </w:r>
      <w:proofErr w:type="spellStart"/>
      <w:proofErr w:type="gramStart"/>
      <w:r w:rsidR="000452D5">
        <w:rPr>
          <w:rFonts w:ascii="Century Gothic" w:hAnsi="Century Gothic"/>
          <w:sz w:val="21"/>
          <w:szCs w:val="21"/>
        </w:rPr>
        <w:t>t</w:t>
      </w:r>
      <w:r w:rsidR="000B60A9">
        <w:rPr>
          <w:rFonts w:ascii="Century Gothic" w:hAnsi="Century Gothic"/>
          <w:sz w:val="21"/>
          <w:szCs w:val="21"/>
        </w:rPr>
        <w:t>e</w:t>
      </w:r>
      <w:proofErr w:type="spellEnd"/>
      <w:proofErr w:type="gramEnd"/>
      <w:r w:rsidR="000B60A9">
        <w:rPr>
          <w:rFonts w:ascii="Century Gothic" w:hAnsi="Century Gothic"/>
          <w:sz w:val="21"/>
          <w:szCs w:val="21"/>
        </w:rPr>
        <w:t xml:space="preserve"> reo Māori</w:t>
      </w:r>
      <w:r w:rsidR="00ED7699" w:rsidRPr="00ED7699">
        <w:rPr>
          <w:rFonts w:ascii="Century Gothic" w:hAnsi="Century Gothic"/>
          <w:sz w:val="21"/>
          <w:szCs w:val="21"/>
        </w:rPr>
        <w:t xml:space="preserve"> </w:t>
      </w:r>
      <w:r>
        <w:rPr>
          <w:rFonts w:ascii="Century Gothic" w:hAnsi="Century Gothic"/>
          <w:sz w:val="21"/>
          <w:szCs w:val="21"/>
        </w:rPr>
        <w:t xml:space="preserve">within </w:t>
      </w:r>
      <w:proofErr w:type="spellStart"/>
      <w:r>
        <w:rPr>
          <w:rFonts w:ascii="Century Gothic" w:hAnsi="Century Gothic"/>
          <w:sz w:val="21"/>
          <w:szCs w:val="21"/>
        </w:rPr>
        <w:t>Ngāi</w:t>
      </w:r>
      <w:proofErr w:type="spellEnd"/>
      <w:r>
        <w:rPr>
          <w:rFonts w:ascii="Century Gothic" w:hAnsi="Century Gothic"/>
          <w:sz w:val="21"/>
          <w:szCs w:val="21"/>
        </w:rPr>
        <w:t xml:space="preserve"> </w:t>
      </w:r>
      <w:proofErr w:type="spellStart"/>
      <w:r>
        <w:rPr>
          <w:rFonts w:ascii="Century Gothic" w:hAnsi="Century Gothic"/>
          <w:sz w:val="21"/>
          <w:szCs w:val="21"/>
        </w:rPr>
        <w:t>Tāmanuhiri</w:t>
      </w:r>
      <w:proofErr w:type="spellEnd"/>
      <w:r w:rsidR="008C631A">
        <w:rPr>
          <w:rFonts w:ascii="Century Gothic" w:hAnsi="Century Gothic"/>
          <w:sz w:val="21"/>
          <w:szCs w:val="21"/>
        </w:rPr>
        <w:t xml:space="preserve">, it is </w:t>
      </w:r>
      <w:r>
        <w:rPr>
          <w:rFonts w:ascii="Century Gothic" w:hAnsi="Century Gothic"/>
          <w:sz w:val="21"/>
          <w:szCs w:val="21"/>
        </w:rPr>
        <w:t xml:space="preserve">useful </w:t>
      </w:r>
      <w:r w:rsidR="008C631A">
        <w:rPr>
          <w:rFonts w:ascii="Century Gothic" w:hAnsi="Century Gothic"/>
          <w:sz w:val="21"/>
          <w:szCs w:val="21"/>
        </w:rPr>
        <w:t xml:space="preserve">to </w:t>
      </w:r>
      <w:r>
        <w:rPr>
          <w:rFonts w:ascii="Century Gothic" w:hAnsi="Century Gothic"/>
          <w:sz w:val="21"/>
          <w:szCs w:val="21"/>
        </w:rPr>
        <w:t>know</w:t>
      </w:r>
      <w:r w:rsidR="008C631A">
        <w:rPr>
          <w:rFonts w:ascii="Century Gothic" w:hAnsi="Century Gothic"/>
          <w:sz w:val="21"/>
          <w:szCs w:val="21"/>
        </w:rPr>
        <w:t xml:space="preserve"> </w:t>
      </w:r>
      <w:r w:rsidR="00ED7699" w:rsidRPr="00ED7699">
        <w:rPr>
          <w:rFonts w:ascii="Century Gothic" w:hAnsi="Century Gothic"/>
          <w:sz w:val="21"/>
          <w:szCs w:val="21"/>
        </w:rPr>
        <w:t>how those rates have changed over ti</w:t>
      </w:r>
      <w:r w:rsidR="000452D5">
        <w:rPr>
          <w:rFonts w:ascii="Century Gothic" w:hAnsi="Century Gothic"/>
          <w:sz w:val="21"/>
          <w:szCs w:val="21"/>
        </w:rPr>
        <w:t>me. Figure 1.7 thus compares</w:t>
      </w:r>
      <w:r w:rsidR="00ED7699" w:rsidRPr="00ED7699">
        <w:rPr>
          <w:rFonts w:ascii="Century Gothic" w:hAnsi="Century Gothic"/>
          <w:sz w:val="21"/>
          <w:szCs w:val="21"/>
        </w:rPr>
        <w:t xml:space="preserve"> age-spec</w:t>
      </w:r>
      <w:r>
        <w:rPr>
          <w:rFonts w:ascii="Century Gothic" w:hAnsi="Century Gothic"/>
          <w:sz w:val="21"/>
          <w:szCs w:val="21"/>
        </w:rPr>
        <w:t xml:space="preserve">ific </w:t>
      </w:r>
      <w:proofErr w:type="spellStart"/>
      <w:proofErr w:type="gramStart"/>
      <w:r w:rsidR="000452D5">
        <w:rPr>
          <w:rFonts w:ascii="Century Gothic" w:hAnsi="Century Gothic"/>
          <w:sz w:val="21"/>
          <w:szCs w:val="21"/>
        </w:rPr>
        <w:t>t</w:t>
      </w:r>
      <w:r w:rsidR="000B60A9">
        <w:rPr>
          <w:rFonts w:ascii="Century Gothic" w:hAnsi="Century Gothic"/>
          <w:sz w:val="21"/>
          <w:szCs w:val="21"/>
        </w:rPr>
        <w:t>e</w:t>
      </w:r>
      <w:proofErr w:type="spellEnd"/>
      <w:proofErr w:type="gramEnd"/>
      <w:r w:rsidR="000B60A9">
        <w:rPr>
          <w:rFonts w:ascii="Century Gothic" w:hAnsi="Century Gothic"/>
          <w:sz w:val="21"/>
          <w:szCs w:val="21"/>
        </w:rPr>
        <w:t xml:space="preserve"> reo Māori</w:t>
      </w:r>
      <w:r>
        <w:rPr>
          <w:rFonts w:ascii="Century Gothic" w:hAnsi="Century Gothic"/>
          <w:sz w:val="21"/>
          <w:szCs w:val="21"/>
        </w:rPr>
        <w:t xml:space="preserve"> speaking </w:t>
      </w:r>
      <w:r w:rsidR="000452D5">
        <w:rPr>
          <w:rFonts w:ascii="Century Gothic" w:hAnsi="Century Gothic"/>
          <w:sz w:val="21"/>
          <w:szCs w:val="21"/>
        </w:rPr>
        <w:t>rates between 2001 and</w:t>
      </w:r>
      <w:r w:rsidR="00ED7699" w:rsidRPr="00ED7699">
        <w:rPr>
          <w:rFonts w:ascii="Century Gothic" w:hAnsi="Century Gothic"/>
          <w:sz w:val="21"/>
          <w:szCs w:val="21"/>
        </w:rPr>
        <w:t xml:space="preserve"> 2013. The main point to note is</w:t>
      </w:r>
      <w:r w:rsidR="00F64A53" w:rsidRPr="00ED7699">
        <w:rPr>
          <w:rFonts w:ascii="Century Gothic" w:hAnsi="Century Gothic"/>
          <w:sz w:val="21"/>
          <w:szCs w:val="21"/>
        </w:rPr>
        <w:t xml:space="preserve"> that the </w:t>
      </w:r>
      <w:r w:rsidR="00F64A53" w:rsidRPr="008C631A">
        <w:rPr>
          <w:rFonts w:ascii="Century Gothic" w:hAnsi="Century Gothic"/>
          <w:sz w:val="21"/>
          <w:szCs w:val="21"/>
          <w:u w:val="single"/>
        </w:rPr>
        <w:t>percentage</w:t>
      </w:r>
      <w:r w:rsidR="00F64A53" w:rsidRPr="00ED7699">
        <w:rPr>
          <w:rFonts w:ascii="Century Gothic" w:hAnsi="Century Gothic"/>
          <w:sz w:val="21"/>
          <w:szCs w:val="21"/>
        </w:rPr>
        <w:t xml:space="preserve"> of </w:t>
      </w:r>
      <w:proofErr w:type="spellStart"/>
      <w:proofErr w:type="gramStart"/>
      <w:r w:rsidR="000B60A9">
        <w:rPr>
          <w:rFonts w:ascii="Century Gothic" w:hAnsi="Century Gothic"/>
          <w:sz w:val="21"/>
          <w:szCs w:val="21"/>
        </w:rPr>
        <w:t>te</w:t>
      </w:r>
      <w:proofErr w:type="spellEnd"/>
      <w:proofErr w:type="gramEnd"/>
      <w:r w:rsidR="000B60A9">
        <w:rPr>
          <w:rFonts w:ascii="Century Gothic" w:hAnsi="Century Gothic"/>
          <w:sz w:val="21"/>
          <w:szCs w:val="21"/>
        </w:rPr>
        <w:t xml:space="preserve"> reo Māori</w:t>
      </w:r>
      <w:r w:rsidR="00F64A53" w:rsidRPr="00ED7699">
        <w:rPr>
          <w:rFonts w:ascii="Century Gothic" w:hAnsi="Century Gothic"/>
          <w:sz w:val="21"/>
          <w:szCs w:val="21"/>
        </w:rPr>
        <w:t xml:space="preserve"> speakers </w:t>
      </w:r>
      <w:r w:rsidR="008C631A">
        <w:rPr>
          <w:rFonts w:ascii="Century Gothic" w:hAnsi="Century Gothic"/>
          <w:sz w:val="21"/>
          <w:szCs w:val="21"/>
        </w:rPr>
        <w:t xml:space="preserve">has </w:t>
      </w:r>
      <w:r>
        <w:rPr>
          <w:rFonts w:ascii="Century Gothic" w:hAnsi="Century Gothic"/>
          <w:sz w:val="21"/>
          <w:szCs w:val="21"/>
        </w:rPr>
        <w:t xml:space="preserve">declined </w:t>
      </w:r>
      <w:r w:rsidR="008C631A">
        <w:rPr>
          <w:rFonts w:ascii="Century Gothic" w:hAnsi="Century Gothic"/>
          <w:sz w:val="21"/>
          <w:szCs w:val="21"/>
        </w:rPr>
        <w:t xml:space="preserve">in most of the broad age </w:t>
      </w:r>
      <w:r w:rsidR="008C631A" w:rsidRPr="00EA2783">
        <w:rPr>
          <w:rFonts w:ascii="Century Gothic" w:hAnsi="Century Gothic"/>
          <w:sz w:val="21"/>
          <w:szCs w:val="21"/>
        </w:rPr>
        <w:t xml:space="preserve">groups, </w:t>
      </w:r>
      <w:r w:rsidRPr="00EA2783">
        <w:rPr>
          <w:rFonts w:ascii="Century Gothic" w:hAnsi="Century Gothic"/>
          <w:sz w:val="21"/>
          <w:szCs w:val="21"/>
        </w:rPr>
        <w:t>but particularly</w:t>
      </w:r>
      <w:r w:rsidR="008C631A" w:rsidRPr="00EA2783">
        <w:rPr>
          <w:rFonts w:ascii="Century Gothic" w:hAnsi="Century Gothic"/>
          <w:sz w:val="21"/>
          <w:szCs w:val="21"/>
        </w:rPr>
        <w:t xml:space="preserve"> at the older ages</w:t>
      </w:r>
      <w:r w:rsidR="00F64A53" w:rsidRPr="00EA2783">
        <w:rPr>
          <w:rFonts w:ascii="Century Gothic" w:hAnsi="Century Gothic"/>
          <w:sz w:val="21"/>
          <w:szCs w:val="21"/>
        </w:rPr>
        <w:t xml:space="preserve">. </w:t>
      </w:r>
      <w:r w:rsidR="008C631A" w:rsidRPr="00EA2783">
        <w:rPr>
          <w:rFonts w:ascii="Century Gothic" w:hAnsi="Century Gothic"/>
          <w:sz w:val="21"/>
          <w:szCs w:val="21"/>
        </w:rPr>
        <w:t xml:space="preserve">If we take, for example, those at </w:t>
      </w:r>
      <w:proofErr w:type="spellStart"/>
      <w:r w:rsidR="008C631A" w:rsidRPr="00EA2783">
        <w:rPr>
          <w:rFonts w:ascii="Century Gothic" w:hAnsi="Century Gothic"/>
          <w:sz w:val="21"/>
          <w:szCs w:val="21"/>
        </w:rPr>
        <w:t>kaumātua</w:t>
      </w:r>
      <w:proofErr w:type="spellEnd"/>
      <w:r w:rsidR="008C631A" w:rsidRPr="00EA2783">
        <w:rPr>
          <w:rFonts w:ascii="Century Gothic" w:hAnsi="Century Gothic"/>
          <w:sz w:val="21"/>
          <w:szCs w:val="21"/>
        </w:rPr>
        <w:t xml:space="preserve"> ages, in 2001 nearly 90 per cent of </w:t>
      </w:r>
      <w:proofErr w:type="spellStart"/>
      <w:r w:rsidR="008C631A" w:rsidRPr="00EA2783">
        <w:rPr>
          <w:rFonts w:ascii="Century Gothic" w:hAnsi="Century Gothic"/>
          <w:sz w:val="21"/>
          <w:szCs w:val="21"/>
        </w:rPr>
        <w:t>Ngāi</w:t>
      </w:r>
      <w:proofErr w:type="spellEnd"/>
      <w:r w:rsidR="008C631A" w:rsidRPr="00EA2783">
        <w:rPr>
          <w:rFonts w:ascii="Century Gothic" w:hAnsi="Century Gothic"/>
          <w:sz w:val="21"/>
          <w:szCs w:val="21"/>
        </w:rPr>
        <w:t xml:space="preserve"> </w:t>
      </w:r>
      <w:proofErr w:type="spellStart"/>
      <w:r w:rsidR="008C631A" w:rsidRPr="00EA2783">
        <w:rPr>
          <w:rFonts w:ascii="Century Gothic" w:hAnsi="Century Gothic"/>
          <w:sz w:val="21"/>
          <w:szCs w:val="21"/>
        </w:rPr>
        <w:t>Tāmanuhiri</w:t>
      </w:r>
      <w:proofErr w:type="spellEnd"/>
      <w:r w:rsidR="008C631A" w:rsidRPr="00EA2783">
        <w:rPr>
          <w:rFonts w:ascii="Century Gothic" w:hAnsi="Century Gothic"/>
          <w:sz w:val="21"/>
          <w:szCs w:val="21"/>
        </w:rPr>
        <w:t xml:space="preserve"> at those ages could hold a daily conversation in </w:t>
      </w:r>
      <w:proofErr w:type="spellStart"/>
      <w:proofErr w:type="gramStart"/>
      <w:r w:rsidR="00D752F0">
        <w:rPr>
          <w:rFonts w:ascii="Century Gothic" w:hAnsi="Century Gothic"/>
          <w:sz w:val="21"/>
          <w:szCs w:val="21"/>
        </w:rPr>
        <w:t>t</w:t>
      </w:r>
      <w:r w:rsidR="000B60A9">
        <w:rPr>
          <w:rFonts w:ascii="Century Gothic" w:hAnsi="Century Gothic"/>
          <w:sz w:val="21"/>
          <w:szCs w:val="21"/>
        </w:rPr>
        <w:t>e</w:t>
      </w:r>
      <w:proofErr w:type="spellEnd"/>
      <w:proofErr w:type="gramEnd"/>
      <w:r w:rsidR="000B60A9">
        <w:rPr>
          <w:rFonts w:ascii="Century Gothic" w:hAnsi="Century Gothic"/>
          <w:sz w:val="21"/>
          <w:szCs w:val="21"/>
        </w:rPr>
        <w:t xml:space="preserve"> reo Māori</w:t>
      </w:r>
      <w:r w:rsidR="008C631A" w:rsidRPr="00EA2783">
        <w:rPr>
          <w:rFonts w:ascii="Century Gothic" w:hAnsi="Century Gothic"/>
          <w:sz w:val="21"/>
          <w:szCs w:val="21"/>
        </w:rPr>
        <w:t xml:space="preserve">. By 2013 this had dropped to 65 per cent. </w:t>
      </w:r>
      <w:r w:rsidRPr="00EA2783">
        <w:rPr>
          <w:rFonts w:ascii="Century Gothic" w:hAnsi="Century Gothic"/>
          <w:sz w:val="21"/>
          <w:szCs w:val="21"/>
        </w:rPr>
        <w:t xml:space="preserve">As older generations of </w:t>
      </w:r>
      <w:r>
        <w:rPr>
          <w:rFonts w:ascii="Century Gothic" w:hAnsi="Century Gothic"/>
          <w:sz w:val="21"/>
          <w:szCs w:val="21"/>
        </w:rPr>
        <w:t>Māori</w:t>
      </w:r>
      <w:r w:rsidRPr="00EA2783">
        <w:rPr>
          <w:rFonts w:ascii="Century Gothic" w:hAnsi="Century Gothic"/>
          <w:sz w:val="21"/>
          <w:szCs w:val="21"/>
        </w:rPr>
        <w:t xml:space="preserve"> speakers have passed away, they have been succeeded by cohorts </w:t>
      </w:r>
      <w:r>
        <w:rPr>
          <w:rFonts w:ascii="Century Gothic" w:hAnsi="Century Gothic"/>
          <w:sz w:val="21"/>
          <w:szCs w:val="21"/>
        </w:rPr>
        <w:t xml:space="preserve">with much lower levels of </w:t>
      </w:r>
      <w:proofErr w:type="spellStart"/>
      <w:proofErr w:type="gramStart"/>
      <w:r w:rsidR="00D316E9">
        <w:rPr>
          <w:rFonts w:ascii="Century Gothic" w:hAnsi="Century Gothic"/>
          <w:sz w:val="21"/>
          <w:szCs w:val="21"/>
        </w:rPr>
        <w:t>t</w:t>
      </w:r>
      <w:r w:rsidR="000B60A9">
        <w:rPr>
          <w:rFonts w:ascii="Century Gothic" w:hAnsi="Century Gothic"/>
          <w:sz w:val="21"/>
          <w:szCs w:val="21"/>
        </w:rPr>
        <w:t>e</w:t>
      </w:r>
      <w:proofErr w:type="spellEnd"/>
      <w:proofErr w:type="gramEnd"/>
      <w:r w:rsidR="000B60A9">
        <w:rPr>
          <w:rFonts w:ascii="Century Gothic" w:hAnsi="Century Gothic"/>
          <w:sz w:val="21"/>
          <w:szCs w:val="21"/>
        </w:rPr>
        <w:t xml:space="preserve"> reo Māori</w:t>
      </w:r>
      <w:r w:rsidR="00D752F0">
        <w:rPr>
          <w:rFonts w:ascii="Century Gothic" w:hAnsi="Century Gothic"/>
          <w:sz w:val="21"/>
          <w:szCs w:val="21"/>
        </w:rPr>
        <w:t xml:space="preserve"> proficiency</w:t>
      </w:r>
      <w:r w:rsidRPr="00EA2783">
        <w:rPr>
          <w:rFonts w:ascii="Century Gothic" w:hAnsi="Century Gothic"/>
          <w:sz w:val="21"/>
          <w:szCs w:val="21"/>
        </w:rPr>
        <w:t xml:space="preserve">. This shift reflects the </w:t>
      </w:r>
      <w:r w:rsidR="00D752F0">
        <w:rPr>
          <w:rFonts w:ascii="Century Gothic" w:hAnsi="Century Gothic"/>
          <w:sz w:val="21"/>
          <w:szCs w:val="21"/>
        </w:rPr>
        <w:t>unique</w:t>
      </w:r>
      <w:r w:rsidRPr="00EA2783">
        <w:rPr>
          <w:rFonts w:ascii="Century Gothic" w:hAnsi="Century Gothic"/>
          <w:sz w:val="21"/>
          <w:szCs w:val="21"/>
        </w:rPr>
        <w:t xml:space="preserve"> experienc</w:t>
      </w:r>
      <w:r>
        <w:rPr>
          <w:rFonts w:ascii="Century Gothic" w:hAnsi="Century Gothic"/>
          <w:sz w:val="21"/>
          <w:szCs w:val="21"/>
        </w:rPr>
        <w:t xml:space="preserve">es of different generations. As </w:t>
      </w:r>
      <w:proofErr w:type="spellStart"/>
      <w:r>
        <w:rPr>
          <w:rFonts w:ascii="Century Gothic" w:hAnsi="Century Gothic"/>
          <w:sz w:val="21"/>
          <w:szCs w:val="21"/>
        </w:rPr>
        <w:t>Kukutai</w:t>
      </w:r>
      <w:proofErr w:type="spellEnd"/>
      <w:r>
        <w:rPr>
          <w:rFonts w:ascii="Century Gothic" w:hAnsi="Century Gothic"/>
          <w:sz w:val="21"/>
          <w:szCs w:val="21"/>
        </w:rPr>
        <w:t xml:space="preserve"> and </w:t>
      </w:r>
      <w:proofErr w:type="spellStart"/>
      <w:r>
        <w:rPr>
          <w:rFonts w:ascii="Century Gothic" w:hAnsi="Century Gothic"/>
          <w:sz w:val="21"/>
          <w:szCs w:val="21"/>
        </w:rPr>
        <w:t>Rarere</w:t>
      </w:r>
      <w:proofErr w:type="spellEnd"/>
      <w:r>
        <w:rPr>
          <w:rFonts w:ascii="Century Gothic" w:hAnsi="Century Gothic"/>
          <w:sz w:val="21"/>
          <w:szCs w:val="21"/>
        </w:rPr>
        <w:t xml:space="preserve"> have noted</w:t>
      </w:r>
      <w:r w:rsidR="000E288C">
        <w:rPr>
          <w:rFonts w:ascii="Century Gothic" w:hAnsi="Century Gothic"/>
          <w:sz w:val="21"/>
          <w:szCs w:val="21"/>
        </w:rPr>
        <w:t xml:space="preserve"> elsewhe</w:t>
      </w:r>
      <w:r>
        <w:rPr>
          <w:rFonts w:ascii="Century Gothic" w:hAnsi="Century Gothic"/>
          <w:sz w:val="21"/>
          <w:szCs w:val="21"/>
        </w:rPr>
        <w:t>re, “Mā</w:t>
      </w:r>
      <w:r w:rsidRPr="00EA2783">
        <w:rPr>
          <w:rFonts w:ascii="Century Gothic" w:hAnsi="Century Gothic"/>
          <w:sz w:val="21"/>
          <w:szCs w:val="21"/>
        </w:rPr>
        <w:t>ori born in the 1940s, 50s, 60s and 70s encountered very strong pressures to assimilate. Rapid urbanisation made it difficult to susta</w:t>
      </w:r>
      <w:r>
        <w:rPr>
          <w:rFonts w:ascii="Century Gothic" w:hAnsi="Century Gothic"/>
          <w:sz w:val="21"/>
          <w:szCs w:val="21"/>
        </w:rPr>
        <w:t xml:space="preserve">in ties to </w:t>
      </w:r>
      <w:proofErr w:type="spellStart"/>
      <w:r>
        <w:rPr>
          <w:rFonts w:ascii="Century Gothic" w:hAnsi="Century Gothic"/>
          <w:sz w:val="21"/>
          <w:szCs w:val="21"/>
        </w:rPr>
        <w:t>hapū</w:t>
      </w:r>
      <w:proofErr w:type="spellEnd"/>
      <w:r>
        <w:rPr>
          <w:rFonts w:ascii="Century Gothic" w:hAnsi="Century Gothic"/>
          <w:sz w:val="21"/>
          <w:szCs w:val="21"/>
        </w:rPr>
        <w:t xml:space="preserve"> and iwi, and Mā</w:t>
      </w:r>
      <w:r w:rsidRPr="00EA2783">
        <w:rPr>
          <w:rFonts w:ascii="Century Gothic" w:hAnsi="Century Gothic"/>
          <w:sz w:val="21"/>
          <w:szCs w:val="21"/>
        </w:rPr>
        <w:t xml:space="preserve">ori identity and culture were heavily stigmatised. The opportunities to learn </w:t>
      </w:r>
      <w:proofErr w:type="spellStart"/>
      <w:proofErr w:type="gramStart"/>
      <w:r w:rsidR="000B60A9">
        <w:rPr>
          <w:rFonts w:ascii="Century Gothic" w:hAnsi="Century Gothic"/>
          <w:sz w:val="21"/>
          <w:szCs w:val="21"/>
        </w:rPr>
        <w:t>te</w:t>
      </w:r>
      <w:proofErr w:type="spellEnd"/>
      <w:proofErr w:type="gramEnd"/>
      <w:r w:rsidR="000B60A9">
        <w:rPr>
          <w:rFonts w:ascii="Century Gothic" w:hAnsi="Century Gothic"/>
          <w:sz w:val="21"/>
          <w:szCs w:val="21"/>
        </w:rPr>
        <w:t xml:space="preserve"> reo Māori</w:t>
      </w:r>
      <w:r w:rsidRPr="00EA2783">
        <w:rPr>
          <w:rFonts w:ascii="Century Gothic" w:hAnsi="Century Gothic"/>
          <w:sz w:val="21"/>
          <w:szCs w:val="21"/>
        </w:rPr>
        <w:t xml:space="preserve"> outside of the home were also very limited before the mid-1980s</w:t>
      </w:r>
      <w:r w:rsidR="00112C29">
        <w:rPr>
          <w:rFonts w:ascii="Century Gothic" w:hAnsi="Century Gothic"/>
          <w:sz w:val="21"/>
          <w:szCs w:val="21"/>
        </w:rPr>
        <w:t>” (2015</w:t>
      </w:r>
      <w:r>
        <w:rPr>
          <w:rFonts w:ascii="Century Gothic" w:hAnsi="Century Gothic"/>
          <w:sz w:val="21"/>
          <w:szCs w:val="21"/>
        </w:rPr>
        <w:t>, p.2)</w:t>
      </w:r>
      <w:r w:rsidRPr="00EA2783">
        <w:rPr>
          <w:rFonts w:ascii="Century Gothic" w:hAnsi="Century Gothic"/>
          <w:sz w:val="21"/>
          <w:szCs w:val="21"/>
        </w:rPr>
        <w:t>.</w:t>
      </w:r>
    </w:p>
    <w:p w14:paraId="3CF6960C" w14:textId="77777777" w:rsidR="00EA2783" w:rsidRDefault="00EA2783" w:rsidP="008C631A">
      <w:pPr>
        <w:spacing w:after="0" w:line="360" w:lineRule="auto"/>
        <w:rPr>
          <w:rFonts w:ascii="Century Gothic" w:hAnsi="Century Gothic"/>
          <w:sz w:val="21"/>
          <w:szCs w:val="21"/>
        </w:rPr>
      </w:pPr>
    </w:p>
    <w:p w14:paraId="34B6CACF" w14:textId="6FF832B4" w:rsidR="00EA2783" w:rsidRDefault="000E288C" w:rsidP="00DE7843">
      <w:pPr>
        <w:spacing w:after="0" w:line="360" w:lineRule="auto"/>
        <w:rPr>
          <w:rFonts w:ascii="Century Gothic" w:hAnsi="Century Gothic"/>
          <w:sz w:val="21"/>
          <w:szCs w:val="21"/>
        </w:rPr>
      </w:pPr>
      <w:r>
        <w:rPr>
          <w:rFonts w:ascii="Century Gothic" w:hAnsi="Century Gothic"/>
          <w:sz w:val="21"/>
          <w:szCs w:val="21"/>
        </w:rPr>
        <w:t>Figure 1.7 shows that a</w:t>
      </w:r>
      <w:r w:rsidR="00EA2783">
        <w:rPr>
          <w:rFonts w:ascii="Century Gothic" w:hAnsi="Century Gothic"/>
          <w:sz w:val="21"/>
          <w:szCs w:val="21"/>
        </w:rPr>
        <w:t xml:space="preserve">t the youngest ages (0-14 years) there has not been much change and the age-specific </w:t>
      </w:r>
      <w:proofErr w:type="spellStart"/>
      <w:proofErr w:type="gramStart"/>
      <w:r w:rsidR="000452D5">
        <w:rPr>
          <w:rFonts w:ascii="Century Gothic" w:hAnsi="Century Gothic"/>
          <w:sz w:val="21"/>
          <w:szCs w:val="21"/>
        </w:rPr>
        <w:t>t</w:t>
      </w:r>
      <w:r w:rsidR="000B60A9">
        <w:rPr>
          <w:rFonts w:ascii="Century Gothic" w:hAnsi="Century Gothic"/>
          <w:sz w:val="21"/>
          <w:szCs w:val="21"/>
        </w:rPr>
        <w:t>e</w:t>
      </w:r>
      <w:proofErr w:type="spellEnd"/>
      <w:proofErr w:type="gramEnd"/>
      <w:r w:rsidR="000B60A9">
        <w:rPr>
          <w:rFonts w:ascii="Century Gothic" w:hAnsi="Century Gothic"/>
          <w:sz w:val="21"/>
          <w:szCs w:val="21"/>
        </w:rPr>
        <w:t xml:space="preserve"> reo Māori</w:t>
      </w:r>
      <w:r w:rsidR="00DE7843">
        <w:rPr>
          <w:rFonts w:ascii="Century Gothic" w:hAnsi="Century Gothic"/>
          <w:sz w:val="21"/>
          <w:szCs w:val="21"/>
        </w:rPr>
        <w:t xml:space="preserve"> rates among 25-</w:t>
      </w:r>
      <w:r w:rsidR="00EA2783">
        <w:rPr>
          <w:rFonts w:ascii="Century Gothic" w:hAnsi="Century Gothic"/>
          <w:sz w:val="21"/>
          <w:szCs w:val="21"/>
        </w:rPr>
        <w:t xml:space="preserve">44 year olds has actually increased, from 39.4 per cent in 2001 to 46.3 per cent in 2013. Those ages include individuals who were part of the </w:t>
      </w:r>
      <w:r w:rsidR="00BD4B5D">
        <w:rPr>
          <w:rFonts w:ascii="Century Gothic" w:hAnsi="Century Gothic"/>
          <w:sz w:val="21"/>
          <w:szCs w:val="21"/>
        </w:rPr>
        <w:t xml:space="preserve">first </w:t>
      </w:r>
      <w:r w:rsidR="00EA2783">
        <w:rPr>
          <w:rFonts w:ascii="Century Gothic" w:hAnsi="Century Gothic"/>
          <w:sz w:val="21"/>
          <w:szCs w:val="21"/>
        </w:rPr>
        <w:t>‘</w:t>
      </w:r>
      <w:proofErr w:type="spellStart"/>
      <w:r w:rsidR="00EA2783">
        <w:rPr>
          <w:rFonts w:ascii="Century Gothic" w:hAnsi="Century Gothic"/>
          <w:sz w:val="21"/>
          <w:szCs w:val="21"/>
        </w:rPr>
        <w:t>k</w:t>
      </w:r>
      <w:r w:rsidR="00DE7843">
        <w:rPr>
          <w:rFonts w:ascii="Century Gothic" w:hAnsi="Century Gothic"/>
          <w:sz w:val="21"/>
          <w:szCs w:val="21"/>
        </w:rPr>
        <w:t>ō</w:t>
      </w:r>
      <w:r w:rsidR="00EA2783">
        <w:rPr>
          <w:rFonts w:ascii="Century Gothic" w:hAnsi="Century Gothic"/>
          <w:sz w:val="21"/>
          <w:szCs w:val="21"/>
        </w:rPr>
        <w:t>hanga</w:t>
      </w:r>
      <w:proofErr w:type="spellEnd"/>
      <w:r w:rsidR="00EA2783">
        <w:rPr>
          <w:rFonts w:ascii="Century Gothic" w:hAnsi="Century Gothic"/>
          <w:sz w:val="21"/>
          <w:szCs w:val="21"/>
        </w:rPr>
        <w:t xml:space="preserve"> reo’ generation born in the 1980s. Early childhood education enrolment data from the Ministry of Education shows that the number and percentage of Māori pre-schoolers enrolled in </w:t>
      </w:r>
      <w:proofErr w:type="spellStart"/>
      <w:r w:rsidR="00EA2783">
        <w:rPr>
          <w:rFonts w:ascii="Century Gothic" w:hAnsi="Century Gothic"/>
          <w:sz w:val="21"/>
          <w:szCs w:val="21"/>
        </w:rPr>
        <w:t>kōhanga</w:t>
      </w:r>
      <w:proofErr w:type="spellEnd"/>
      <w:r w:rsidR="00EA2783">
        <w:rPr>
          <w:rFonts w:ascii="Century Gothic" w:hAnsi="Century Gothic"/>
          <w:sz w:val="21"/>
          <w:szCs w:val="21"/>
        </w:rPr>
        <w:t xml:space="preserve"> reo decreased from the early 2000s onwards (Ministry of Education 2015).</w:t>
      </w:r>
    </w:p>
    <w:p w14:paraId="6DA3450A" w14:textId="77777777" w:rsidR="00EA2783" w:rsidRDefault="00EA2783" w:rsidP="008C631A">
      <w:pPr>
        <w:spacing w:after="0" w:line="360" w:lineRule="auto"/>
        <w:rPr>
          <w:rFonts w:ascii="Century Gothic" w:hAnsi="Century Gothic"/>
          <w:sz w:val="21"/>
          <w:szCs w:val="21"/>
        </w:rPr>
      </w:pPr>
    </w:p>
    <w:p w14:paraId="3E31D922" w14:textId="4524A77B" w:rsidR="00C31C69" w:rsidRDefault="00EA2783" w:rsidP="00281E6D">
      <w:pPr>
        <w:spacing w:after="0" w:line="360" w:lineRule="auto"/>
        <w:rPr>
          <w:rFonts w:ascii="Century Gothic" w:hAnsi="Century Gothic"/>
          <w:sz w:val="21"/>
          <w:szCs w:val="21"/>
        </w:rPr>
      </w:pPr>
      <w:r>
        <w:rPr>
          <w:rFonts w:ascii="Century Gothic" w:hAnsi="Century Gothic"/>
          <w:sz w:val="21"/>
          <w:szCs w:val="21"/>
        </w:rPr>
        <w:t xml:space="preserve">Changes in the age-specific </w:t>
      </w:r>
      <w:proofErr w:type="spellStart"/>
      <w:proofErr w:type="gramStart"/>
      <w:r w:rsidR="000452D5">
        <w:rPr>
          <w:rFonts w:ascii="Century Gothic" w:hAnsi="Century Gothic"/>
          <w:sz w:val="21"/>
          <w:szCs w:val="21"/>
        </w:rPr>
        <w:t>t</w:t>
      </w:r>
      <w:r w:rsidR="000B60A9">
        <w:rPr>
          <w:rFonts w:ascii="Century Gothic" w:hAnsi="Century Gothic"/>
          <w:sz w:val="21"/>
          <w:szCs w:val="21"/>
        </w:rPr>
        <w:t>e</w:t>
      </w:r>
      <w:proofErr w:type="spellEnd"/>
      <w:proofErr w:type="gramEnd"/>
      <w:r w:rsidR="000B60A9">
        <w:rPr>
          <w:rFonts w:ascii="Century Gothic" w:hAnsi="Century Gothic"/>
          <w:sz w:val="21"/>
          <w:szCs w:val="21"/>
        </w:rPr>
        <w:t xml:space="preserve"> reo Māori</w:t>
      </w:r>
      <w:r>
        <w:rPr>
          <w:rFonts w:ascii="Century Gothic" w:hAnsi="Century Gothic"/>
          <w:sz w:val="21"/>
          <w:szCs w:val="21"/>
        </w:rPr>
        <w:t xml:space="preserve"> rate are important to understand when developing </w:t>
      </w:r>
      <w:proofErr w:type="spellStart"/>
      <w:r w:rsidR="000452D5">
        <w:rPr>
          <w:rFonts w:ascii="Century Gothic" w:hAnsi="Century Gothic"/>
          <w:sz w:val="21"/>
          <w:szCs w:val="21"/>
        </w:rPr>
        <w:t>t</w:t>
      </w:r>
      <w:r w:rsidR="000B60A9">
        <w:rPr>
          <w:rFonts w:ascii="Century Gothic" w:hAnsi="Century Gothic"/>
          <w:sz w:val="21"/>
          <w:szCs w:val="21"/>
        </w:rPr>
        <w:t>e</w:t>
      </w:r>
      <w:proofErr w:type="spellEnd"/>
      <w:r w:rsidR="000B60A9">
        <w:rPr>
          <w:rFonts w:ascii="Century Gothic" w:hAnsi="Century Gothic"/>
          <w:sz w:val="21"/>
          <w:szCs w:val="21"/>
        </w:rPr>
        <w:t xml:space="preserve"> reo Māori</w:t>
      </w:r>
      <w:r>
        <w:rPr>
          <w:rFonts w:ascii="Century Gothic" w:hAnsi="Century Gothic"/>
          <w:sz w:val="21"/>
          <w:szCs w:val="21"/>
        </w:rPr>
        <w:t xml:space="preserve"> initiatives</w:t>
      </w:r>
      <w:r w:rsidR="00BD4B5D">
        <w:rPr>
          <w:rFonts w:ascii="Century Gothic" w:hAnsi="Century Gothic"/>
          <w:sz w:val="21"/>
          <w:szCs w:val="21"/>
        </w:rPr>
        <w:t>. The influence of history is important and can have profound impacts on different generations. In the short to medium-term it</w:t>
      </w:r>
      <w:r>
        <w:rPr>
          <w:rFonts w:ascii="Century Gothic" w:hAnsi="Century Gothic"/>
          <w:sz w:val="21"/>
          <w:szCs w:val="21"/>
        </w:rPr>
        <w:t xml:space="preserve"> is highly unlikely</w:t>
      </w:r>
      <w:r w:rsidR="00D316E9">
        <w:rPr>
          <w:rFonts w:ascii="Century Gothic" w:hAnsi="Century Gothic"/>
          <w:sz w:val="21"/>
          <w:szCs w:val="21"/>
        </w:rPr>
        <w:t xml:space="preserve"> </w:t>
      </w:r>
      <w:r w:rsidR="000E288C">
        <w:rPr>
          <w:rFonts w:ascii="Century Gothic" w:hAnsi="Century Gothic"/>
          <w:sz w:val="21"/>
          <w:szCs w:val="21"/>
        </w:rPr>
        <w:t xml:space="preserve">that there will be a return to </w:t>
      </w:r>
      <w:r w:rsidR="000E288C">
        <w:rPr>
          <w:rFonts w:ascii="Century Gothic" w:hAnsi="Century Gothic"/>
          <w:sz w:val="21"/>
          <w:szCs w:val="21"/>
        </w:rPr>
        <w:lastRenderedPageBreak/>
        <w:t xml:space="preserve">the extraordinarily high rate of </w:t>
      </w:r>
      <w:proofErr w:type="spellStart"/>
      <w:proofErr w:type="gramStart"/>
      <w:r w:rsidR="000452D5">
        <w:rPr>
          <w:rFonts w:ascii="Century Gothic" w:hAnsi="Century Gothic"/>
          <w:sz w:val="21"/>
          <w:szCs w:val="21"/>
        </w:rPr>
        <w:t>t</w:t>
      </w:r>
      <w:r w:rsidR="000B60A9">
        <w:rPr>
          <w:rFonts w:ascii="Century Gothic" w:hAnsi="Century Gothic"/>
          <w:sz w:val="21"/>
          <w:szCs w:val="21"/>
        </w:rPr>
        <w:t>e</w:t>
      </w:r>
      <w:proofErr w:type="spellEnd"/>
      <w:proofErr w:type="gramEnd"/>
      <w:r w:rsidR="000B60A9">
        <w:rPr>
          <w:rFonts w:ascii="Century Gothic" w:hAnsi="Century Gothic"/>
          <w:sz w:val="21"/>
          <w:szCs w:val="21"/>
        </w:rPr>
        <w:t xml:space="preserve"> reo Māori</w:t>
      </w:r>
      <w:r w:rsidR="000E288C">
        <w:rPr>
          <w:rFonts w:ascii="Century Gothic" w:hAnsi="Century Gothic"/>
          <w:sz w:val="21"/>
          <w:szCs w:val="21"/>
        </w:rPr>
        <w:t xml:space="preserve"> speakers among </w:t>
      </w:r>
      <w:proofErr w:type="spellStart"/>
      <w:r w:rsidR="00BD4B5D">
        <w:rPr>
          <w:rFonts w:ascii="Century Gothic" w:hAnsi="Century Gothic"/>
          <w:sz w:val="21"/>
          <w:szCs w:val="21"/>
        </w:rPr>
        <w:t>Ngāi</w:t>
      </w:r>
      <w:proofErr w:type="spellEnd"/>
      <w:r w:rsidR="00BD4B5D">
        <w:rPr>
          <w:rFonts w:ascii="Century Gothic" w:hAnsi="Century Gothic"/>
          <w:sz w:val="21"/>
          <w:szCs w:val="21"/>
        </w:rPr>
        <w:t xml:space="preserve"> </w:t>
      </w:r>
      <w:proofErr w:type="spellStart"/>
      <w:r w:rsidR="00BD4B5D">
        <w:rPr>
          <w:rFonts w:ascii="Century Gothic" w:hAnsi="Century Gothic"/>
          <w:sz w:val="21"/>
          <w:szCs w:val="21"/>
        </w:rPr>
        <w:t>Tāmanuhiri</w:t>
      </w:r>
      <w:proofErr w:type="spellEnd"/>
      <w:r w:rsidR="00BD4B5D">
        <w:rPr>
          <w:rFonts w:ascii="Century Gothic" w:hAnsi="Century Gothic"/>
          <w:sz w:val="21"/>
          <w:szCs w:val="21"/>
        </w:rPr>
        <w:t xml:space="preserve"> </w:t>
      </w:r>
      <w:proofErr w:type="spellStart"/>
      <w:r w:rsidR="00BD4B5D">
        <w:rPr>
          <w:rFonts w:ascii="Century Gothic" w:hAnsi="Century Gothic"/>
          <w:sz w:val="21"/>
          <w:szCs w:val="21"/>
        </w:rPr>
        <w:t>kaumātua</w:t>
      </w:r>
      <w:proofErr w:type="spellEnd"/>
      <w:r w:rsidR="00D316E9">
        <w:rPr>
          <w:rFonts w:ascii="Century Gothic" w:hAnsi="Century Gothic"/>
          <w:sz w:val="21"/>
          <w:szCs w:val="21"/>
        </w:rPr>
        <w:t xml:space="preserve"> observed in 2001</w:t>
      </w:r>
      <w:r w:rsidR="00BD4B5D">
        <w:rPr>
          <w:rFonts w:ascii="Century Gothic" w:hAnsi="Century Gothic"/>
          <w:sz w:val="21"/>
          <w:szCs w:val="21"/>
        </w:rPr>
        <w:t xml:space="preserve">. The </w:t>
      </w:r>
      <w:r w:rsidR="000E288C">
        <w:rPr>
          <w:rFonts w:ascii="Century Gothic" w:hAnsi="Century Gothic"/>
          <w:sz w:val="21"/>
          <w:szCs w:val="21"/>
        </w:rPr>
        <w:t>youngest of the</w:t>
      </w:r>
      <w:r w:rsidR="00BD4B5D">
        <w:rPr>
          <w:rFonts w:ascii="Century Gothic" w:hAnsi="Century Gothic"/>
          <w:sz w:val="21"/>
          <w:szCs w:val="21"/>
        </w:rPr>
        <w:t xml:space="preserve"> </w:t>
      </w:r>
      <w:proofErr w:type="spellStart"/>
      <w:r w:rsidR="00BD4B5D">
        <w:rPr>
          <w:rFonts w:ascii="Century Gothic" w:hAnsi="Century Gothic"/>
          <w:sz w:val="21"/>
          <w:szCs w:val="21"/>
        </w:rPr>
        <w:t>kaumātua</w:t>
      </w:r>
      <w:proofErr w:type="spellEnd"/>
      <w:r w:rsidR="00BD4B5D">
        <w:rPr>
          <w:rFonts w:ascii="Century Gothic" w:hAnsi="Century Gothic"/>
          <w:sz w:val="21"/>
          <w:szCs w:val="21"/>
        </w:rPr>
        <w:t xml:space="preserve"> </w:t>
      </w:r>
      <w:r w:rsidR="000E288C">
        <w:rPr>
          <w:rFonts w:ascii="Century Gothic" w:hAnsi="Century Gothic"/>
          <w:sz w:val="21"/>
          <w:szCs w:val="21"/>
        </w:rPr>
        <w:t xml:space="preserve">reported </w:t>
      </w:r>
      <w:r w:rsidR="00BD4B5D">
        <w:rPr>
          <w:rFonts w:ascii="Century Gothic" w:hAnsi="Century Gothic"/>
          <w:sz w:val="21"/>
          <w:szCs w:val="21"/>
        </w:rPr>
        <w:t xml:space="preserve">in </w:t>
      </w:r>
      <w:r w:rsidR="000E288C">
        <w:rPr>
          <w:rFonts w:ascii="Century Gothic" w:hAnsi="Century Gothic"/>
          <w:sz w:val="21"/>
          <w:szCs w:val="21"/>
        </w:rPr>
        <w:t xml:space="preserve">the </w:t>
      </w:r>
      <w:r w:rsidR="00BD4B5D">
        <w:rPr>
          <w:rFonts w:ascii="Century Gothic" w:hAnsi="Century Gothic"/>
          <w:sz w:val="21"/>
          <w:szCs w:val="21"/>
        </w:rPr>
        <w:t xml:space="preserve">2001 </w:t>
      </w:r>
      <w:r w:rsidR="000E288C">
        <w:rPr>
          <w:rFonts w:ascii="Century Gothic" w:hAnsi="Century Gothic"/>
          <w:sz w:val="21"/>
          <w:szCs w:val="21"/>
        </w:rPr>
        <w:t xml:space="preserve">census </w:t>
      </w:r>
      <w:r w:rsidR="00BD4B5D">
        <w:rPr>
          <w:rFonts w:ascii="Century Gothic" w:hAnsi="Century Gothic"/>
          <w:sz w:val="21"/>
          <w:szCs w:val="21"/>
        </w:rPr>
        <w:t xml:space="preserve">were born before the great rural-urban migrations began in the 1940s. They grew up in entirely different circumstances where </w:t>
      </w:r>
      <w:proofErr w:type="spellStart"/>
      <w:proofErr w:type="gramStart"/>
      <w:r w:rsidR="00D316E9">
        <w:rPr>
          <w:rFonts w:ascii="Century Gothic" w:hAnsi="Century Gothic"/>
          <w:sz w:val="21"/>
          <w:szCs w:val="21"/>
        </w:rPr>
        <w:t>t</w:t>
      </w:r>
      <w:r w:rsidR="000B60A9">
        <w:rPr>
          <w:rFonts w:ascii="Century Gothic" w:hAnsi="Century Gothic"/>
          <w:sz w:val="21"/>
          <w:szCs w:val="21"/>
        </w:rPr>
        <w:t>e</w:t>
      </w:r>
      <w:proofErr w:type="spellEnd"/>
      <w:proofErr w:type="gramEnd"/>
      <w:r w:rsidR="000B60A9">
        <w:rPr>
          <w:rFonts w:ascii="Century Gothic" w:hAnsi="Century Gothic"/>
          <w:sz w:val="21"/>
          <w:szCs w:val="21"/>
        </w:rPr>
        <w:t xml:space="preserve"> reo Māori</w:t>
      </w:r>
      <w:r w:rsidR="00BD4B5D">
        <w:rPr>
          <w:rFonts w:ascii="Century Gothic" w:hAnsi="Century Gothic"/>
          <w:sz w:val="21"/>
          <w:szCs w:val="21"/>
        </w:rPr>
        <w:t xml:space="preserve"> was likely to have been </w:t>
      </w:r>
      <w:r w:rsidR="00281E6D">
        <w:rPr>
          <w:rFonts w:ascii="Century Gothic" w:hAnsi="Century Gothic"/>
          <w:sz w:val="21"/>
          <w:szCs w:val="21"/>
        </w:rPr>
        <w:t xml:space="preserve">the language </w:t>
      </w:r>
      <w:r w:rsidR="00BD4B5D">
        <w:rPr>
          <w:rFonts w:ascii="Century Gothic" w:hAnsi="Century Gothic"/>
          <w:sz w:val="21"/>
          <w:szCs w:val="21"/>
        </w:rPr>
        <w:t xml:space="preserve">spoken in the home, if not </w:t>
      </w:r>
      <w:r w:rsidR="000E288C">
        <w:rPr>
          <w:rFonts w:ascii="Century Gothic" w:hAnsi="Century Gothic"/>
          <w:sz w:val="21"/>
          <w:szCs w:val="21"/>
        </w:rPr>
        <w:t xml:space="preserve">learned </w:t>
      </w:r>
      <w:r w:rsidR="00BD4B5D">
        <w:rPr>
          <w:rFonts w:ascii="Century Gothic" w:hAnsi="Century Gothic"/>
          <w:sz w:val="21"/>
          <w:szCs w:val="21"/>
        </w:rPr>
        <w:t xml:space="preserve">as the first language. Even with </w:t>
      </w:r>
      <w:r w:rsidR="00281E6D">
        <w:rPr>
          <w:rFonts w:ascii="Century Gothic" w:hAnsi="Century Gothic"/>
          <w:sz w:val="21"/>
          <w:szCs w:val="21"/>
        </w:rPr>
        <w:t>sustaine</w:t>
      </w:r>
      <w:r w:rsidR="000B60A9">
        <w:rPr>
          <w:rFonts w:ascii="Century Gothic" w:hAnsi="Century Gothic"/>
          <w:sz w:val="21"/>
          <w:szCs w:val="21"/>
        </w:rPr>
        <w:t>d effort</w:t>
      </w:r>
      <w:r w:rsidR="00281E6D">
        <w:rPr>
          <w:rFonts w:ascii="Century Gothic" w:hAnsi="Century Gothic"/>
          <w:sz w:val="21"/>
          <w:szCs w:val="21"/>
        </w:rPr>
        <w:t>, achieving such high levels again will be nearl</w:t>
      </w:r>
      <w:r w:rsidR="000B60A9">
        <w:rPr>
          <w:rFonts w:ascii="Century Gothic" w:hAnsi="Century Gothic"/>
          <w:sz w:val="21"/>
          <w:szCs w:val="21"/>
        </w:rPr>
        <w:t xml:space="preserve">y impossible </w:t>
      </w:r>
      <w:r w:rsidR="00281E6D">
        <w:rPr>
          <w:rFonts w:ascii="Century Gothic" w:hAnsi="Century Gothic"/>
          <w:sz w:val="21"/>
          <w:szCs w:val="21"/>
        </w:rPr>
        <w:t xml:space="preserve">because of the high levels of urbanisation, intermarriage, and spatial mobility, and the Government’s lack of commitment to ensuring that </w:t>
      </w:r>
      <w:proofErr w:type="spellStart"/>
      <w:r w:rsidR="00DE7843">
        <w:rPr>
          <w:rFonts w:ascii="Century Gothic" w:hAnsi="Century Gothic"/>
          <w:sz w:val="21"/>
          <w:szCs w:val="21"/>
        </w:rPr>
        <w:t>te</w:t>
      </w:r>
      <w:proofErr w:type="spellEnd"/>
      <w:r w:rsidR="00DE7843">
        <w:rPr>
          <w:rFonts w:ascii="Century Gothic" w:hAnsi="Century Gothic"/>
          <w:sz w:val="21"/>
          <w:szCs w:val="21"/>
        </w:rPr>
        <w:t xml:space="preserve"> r</w:t>
      </w:r>
      <w:r w:rsidR="00047DBD">
        <w:rPr>
          <w:rFonts w:ascii="Century Gothic" w:hAnsi="Century Gothic"/>
          <w:sz w:val="21"/>
          <w:szCs w:val="21"/>
        </w:rPr>
        <w:t>eo Māori</w:t>
      </w:r>
      <w:r w:rsidR="00281E6D">
        <w:rPr>
          <w:rFonts w:ascii="Century Gothic" w:hAnsi="Century Gothic"/>
          <w:sz w:val="21"/>
          <w:szCs w:val="21"/>
        </w:rPr>
        <w:t xml:space="preserve"> is </w:t>
      </w:r>
      <w:r w:rsidR="000B60A9">
        <w:rPr>
          <w:rFonts w:ascii="Century Gothic" w:hAnsi="Century Gothic"/>
          <w:sz w:val="21"/>
          <w:szCs w:val="21"/>
        </w:rPr>
        <w:t xml:space="preserve">normalised and supported as </w:t>
      </w:r>
      <w:r w:rsidR="00281E6D">
        <w:rPr>
          <w:rFonts w:ascii="Century Gothic" w:hAnsi="Century Gothic"/>
          <w:sz w:val="21"/>
          <w:szCs w:val="21"/>
        </w:rPr>
        <w:t xml:space="preserve">the first language of </w:t>
      </w:r>
      <w:proofErr w:type="spellStart"/>
      <w:r w:rsidR="00281E6D">
        <w:rPr>
          <w:rFonts w:ascii="Century Gothic" w:hAnsi="Century Gothic"/>
          <w:sz w:val="21"/>
          <w:szCs w:val="21"/>
        </w:rPr>
        <w:t>Aotearoa</w:t>
      </w:r>
      <w:proofErr w:type="spellEnd"/>
      <w:r w:rsidR="00281E6D">
        <w:rPr>
          <w:rFonts w:ascii="Century Gothic" w:hAnsi="Century Gothic"/>
          <w:sz w:val="21"/>
          <w:szCs w:val="21"/>
        </w:rPr>
        <w:t>.</w:t>
      </w:r>
    </w:p>
    <w:p w14:paraId="49136F2E" w14:textId="77777777" w:rsidR="00D316E9" w:rsidRDefault="00D316E9" w:rsidP="00DE7843">
      <w:pPr>
        <w:spacing w:after="0" w:line="360" w:lineRule="auto"/>
        <w:rPr>
          <w:rFonts w:ascii="Century Gothic" w:eastAsiaTheme="majorEastAsia" w:hAnsi="Century Gothic" w:cstheme="majorBidi"/>
          <w:b/>
          <w:bCs/>
          <w:color w:val="4EAFC6"/>
          <w:sz w:val="21"/>
          <w:szCs w:val="21"/>
          <w:lang w:eastAsia="en-US"/>
        </w:rPr>
      </w:pPr>
    </w:p>
    <w:p w14:paraId="02AD149A" w14:textId="01EB7EDA" w:rsidR="00F64A53" w:rsidRDefault="00F64A53" w:rsidP="00C31C69">
      <w:pPr>
        <w:spacing w:after="0" w:line="276" w:lineRule="auto"/>
        <w:rPr>
          <w:rFonts w:ascii="Century Gothic" w:hAnsi="Century Gothic"/>
          <w:b/>
          <w:bCs/>
          <w:color w:val="44546A"/>
          <w:sz w:val="20"/>
          <w:szCs w:val="20"/>
        </w:rPr>
      </w:pPr>
      <w:bookmarkStart w:id="24" w:name="_Toc491783067"/>
      <w:r w:rsidRPr="00DF212D">
        <w:rPr>
          <w:rFonts w:ascii="Century Gothic" w:hAnsi="Century Gothic"/>
          <w:b/>
          <w:bCs/>
          <w:color w:val="44546A"/>
          <w:sz w:val="20"/>
          <w:szCs w:val="20"/>
        </w:rPr>
        <w:t xml:space="preserve">Figure </w:t>
      </w:r>
      <w:r>
        <w:rPr>
          <w:rFonts w:ascii="Century Gothic" w:hAnsi="Century Gothic"/>
          <w:b/>
          <w:bCs/>
          <w:color w:val="44546A"/>
          <w:sz w:val="20"/>
          <w:szCs w:val="20"/>
        </w:rPr>
        <w:fldChar w:fldCharType="begin"/>
      </w:r>
      <w:r w:rsidRPr="00DF212D">
        <w:rPr>
          <w:rFonts w:ascii="Century Gothic" w:hAnsi="Century Gothic"/>
          <w:b/>
          <w:bCs/>
          <w:color w:val="44546A"/>
          <w:sz w:val="20"/>
          <w:szCs w:val="20"/>
        </w:rPr>
        <w:instrText xml:space="preserve"> STYLEREF 1 \s </w:instrText>
      </w:r>
      <w:r>
        <w:rPr>
          <w:rFonts w:ascii="Century Gothic" w:hAnsi="Century Gothic"/>
          <w:b/>
          <w:bCs/>
          <w:color w:val="44546A"/>
          <w:sz w:val="20"/>
          <w:szCs w:val="20"/>
        </w:rPr>
        <w:fldChar w:fldCharType="separate"/>
      </w:r>
      <w:r w:rsidR="001470A9">
        <w:rPr>
          <w:rFonts w:ascii="Century Gothic" w:hAnsi="Century Gothic" w:hint="cs"/>
          <w:b/>
          <w:bCs/>
          <w:noProof/>
          <w:color w:val="44546A"/>
          <w:sz w:val="20"/>
          <w:szCs w:val="20"/>
          <w:cs/>
        </w:rPr>
        <w:t>‎</w:t>
      </w:r>
      <w:r w:rsidR="001470A9">
        <w:rPr>
          <w:rFonts w:ascii="Century Gothic" w:hAnsi="Century Gothic"/>
          <w:b/>
          <w:bCs/>
          <w:noProof/>
          <w:color w:val="44546A"/>
          <w:sz w:val="20"/>
          <w:szCs w:val="20"/>
        </w:rPr>
        <w:t>1</w:t>
      </w:r>
      <w:r>
        <w:rPr>
          <w:rFonts w:ascii="Century Gothic" w:hAnsi="Century Gothic"/>
          <w:b/>
          <w:bCs/>
          <w:color w:val="44546A"/>
          <w:sz w:val="20"/>
          <w:szCs w:val="20"/>
        </w:rPr>
        <w:fldChar w:fldCharType="end"/>
      </w:r>
      <w:r w:rsidRPr="00DF212D">
        <w:rPr>
          <w:rFonts w:ascii="Century Gothic" w:hAnsi="Century Gothic"/>
          <w:b/>
          <w:bCs/>
          <w:color w:val="44546A"/>
          <w:sz w:val="20"/>
          <w:szCs w:val="20"/>
        </w:rPr>
        <w:t>.</w:t>
      </w:r>
      <w:r>
        <w:rPr>
          <w:rFonts w:ascii="Century Gothic" w:hAnsi="Century Gothic"/>
          <w:b/>
          <w:bCs/>
          <w:color w:val="44546A"/>
          <w:sz w:val="20"/>
          <w:szCs w:val="20"/>
        </w:rPr>
        <w:fldChar w:fldCharType="begin"/>
      </w:r>
      <w:r w:rsidRPr="00DF212D">
        <w:rPr>
          <w:rFonts w:ascii="Century Gothic" w:hAnsi="Century Gothic"/>
          <w:b/>
          <w:bCs/>
          <w:color w:val="44546A"/>
          <w:sz w:val="20"/>
          <w:szCs w:val="20"/>
        </w:rPr>
        <w:instrText xml:space="preserve"> SEQ Figure \* ARABIC \s 1 </w:instrText>
      </w:r>
      <w:r>
        <w:rPr>
          <w:rFonts w:ascii="Century Gothic" w:hAnsi="Century Gothic"/>
          <w:b/>
          <w:bCs/>
          <w:color w:val="44546A"/>
          <w:sz w:val="20"/>
          <w:szCs w:val="20"/>
        </w:rPr>
        <w:fldChar w:fldCharType="separate"/>
      </w:r>
      <w:r w:rsidR="001470A9">
        <w:rPr>
          <w:rFonts w:ascii="Century Gothic" w:hAnsi="Century Gothic"/>
          <w:b/>
          <w:bCs/>
          <w:noProof/>
          <w:color w:val="44546A"/>
          <w:sz w:val="20"/>
          <w:szCs w:val="20"/>
        </w:rPr>
        <w:t>8</w:t>
      </w:r>
      <w:r>
        <w:rPr>
          <w:rFonts w:ascii="Century Gothic" w:hAnsi="Century Gothic"/>
          <w:b/>
          <w:bCs/>
          <w:color w:val="44546A"/>
          <w:sz w:val="20"/>
          <w:szCs w:val="20"/>
        </w:rPr>
        <w:fldChar w:fldCharType="end"/>
      </w:r>
      <w:r w:rsidRPr="00DF212D">
        <w:rPr>
          <w:rFonts w:ascii="Century Gothic" w:hAnsi="Century Gothic"/>
          <w:b/>
          <w:bCs/>
          <w:color w:val="44546A"/>
          <w:sz w:val="20"/>
          <w:szCs w:val="20"/>
        </w:rPr>
        <w:t xml:space="preserve"> </w:t>
      </w:r>
      <w:r w:rsidR="00C31C69">
        <w:rPr>
          <w:rFonts w:ascii="Century Gothic" w:hAnsi="Century Gothic"/>
          <w:b/>
          <w:bCs/>
          <w:color w:val="44546A"/>
          <w:sz w:val="20"/>
          <w:szCs w:val="20"/>
        </w:rPr>
        <w:t xml:space="preserve">Broad age-specific rates of </w:t>
      </w:r>
      <w:proofErr w:type="spellStart"/>
      <w:proofErr w:type="gramStart"/>
      <w:r w:rsidR="00DE7843">
        <w:rPr>
          <w:rFonts w:ascii="Century Gothic" w:hAnsi="Century Gothic"/>
          <w:b/>
          <w:bCs/>
          <w:color w:val="44546A"/>
          <w:sz w:val="20"/>
          <w:szCs w:val="20"/>
        </w:rPr>
        <w:t>t</w:t>
      </w:r>
      <w:r w:rsidR="000B60A9">
        <w:rPr>
          <w:rFonts w:ascii="Century Gothic" w:hAnsi="Century Gothic"/>
          <w:b/>
          <w:bCs/>
          <w:color w:val="44546A"/>
          <w:sz w:val="20"/>
          <w:szCs w:val="20"/>
        </w:rPr>
        <w:t>e</w:t>
      </w:r>
      <w:proofErr w:type="spellEnd"/>
      <w:proofErr w:type="gramEnd"/>
      <w:r w:rsidR="000B60A9">
        <w:rPr>
          <w:rFonts w:ascii="Century Gothic" w:hAnsi="Century Gothic"/>
          <w:b/>
          <w:bCs/>
          <w:color w:val="44546A"/>
          <w:sz w:val="20"/>
          <w:szCs w:val="20"/>
        </w:rPr>
        <w:t xml:space="preserve"> reo Māori</w:t>
      </w:r>
      <w:r w:rsidR="00C31C69">
        <w:rPr>
          <w:rFonts w:ascii="Century Gothic" w:hAnsi="Century Gothic"/>
          <w:b/>
          <w:bCs/>
          <w:color w:val="44546A"/>
          <w:sz w:val="20"/>
          <w:szCs w:val="20"/>
        </w:rPr>
        <w:t xml:space="preserve"> speakers for </w:t>
      </w:r>
      <w:proofErr w:type="spellStart"/>
      <w:r>
        <w:rPr>
          <w:rFonts w:ascii="Century Gothic" w:hAnsi="Century Gothic"/>
          <w:b/>
          <w:bCs/>
          <w:color w:val="44546A"/>
          <w:sz w:val="20"/>
          <w:szCs w:val="20"/>
        </w:rPr>
        <w:t>Ngāi</w:t>
      </w:r>
      <w:proofErr w:type="spellEnd"/>
      <w:r w:rsidRPr="00DF212D">
        <w:rPr>
          <w:rFonts w:ascii="Century Gothic" w:hAnsi="Century Gothic"/>
          <w:b/>
          <w:bCs/>
          <w:color w:val="44546A"/>
          <w:sz w:val="20"/>
          <w:szCs w:val="20"/>
        </w:rPr>
        <w:t xml:space="preserve"> </w:t>
      </w:r>
      <w:proofErr w:type="spellStart"/>
      <w:r w:rsidR="00C31C69">
        <w:rPr>
          <w:rFonts w:ascii="Century Gothic" w:hAnsi="Century Gothic"/>
          <w:b/>
          <w:bCs/>
          <w:color w:val="44546A"/>
          <w:sz w:val="20"/>
          <w:szCs w:val="20"/>
        </w:rPr>
        <w:t>Tāmanuhiri</w:t>
      </w:r>
      <w:proofErr w:type="spellEnd"/>
      <w:r>
        <w:rPr>
          <w:rFonts w:ascii="Century Gothic" w:hAnsi="Century Gothic"/>
          <w:b/>
          <w:bCs/>
          <w:color w:val="44546A"/>
          <w:sz w:val="20"/>
          <w:szCs w:val="20"/>
        </w:rPr>
        <w:t xml:space="preserve">; </w:t>
      </w:r>
      <w:r w:rsidR="00C31C69">
        <w:rPr>
          <w:rFonts w:ascii="Century Gothic" w:hAnsi="Century Gothic"/>
          <w:b/>
          <w:bCs/>
          <w:color w:val="44546A"/>
          <w:sz w:val="20"/>
          <w:szCs w:val="20"/>
        </w:rPr>
        <w:t xml:space="preserve">2001 and </w:t>
      </w:r>
      <w:r>
        <w:rPr>
          <w:rFonts w:ascii="Century Gothic" w:hAnsi="Century Gothic"/>
          <w:b/>
          <w:bCs/>
          <w:color w:val="44546A"/>
          <w:sz w:val="20"/>
          <w:szCs w:val="20"/>
        </w:rPr>
        <w:t>2013 Census</w:t>
      </w:r>
      <w:bookmarkEnd w:id="24"/>
    </w:p>
    <w:p w14:paraId="08215B02" w14:textId="77777777" w:rsidR="00F64A53" w:rsidRDefault="00F64A53" w:rsidP="00581B0B">
      <w:pPr>
        <w:spacing w:after="0" w:line="276" w:lineRule="auto"/>
        <w:rPr>
          <w:rFonts w:ascii="Century Gothic" w:eastAsiaTheme="majorEastAsia" w:hAnsi="Century Gothic" w:cstheme="majorBidi"/>
          <w:b/>
          <w:bCs/>
          <w:color w:val="4EAFC6"/>
          <w:sz w:val="21"/>
          <w:szCs w:val="21"/>
          <w:lang w:eastAsia="en-US"/>
        </w:rPr>
      </w:pPr>
    </w:p>
    <w:p w14:paraId="1DBD0AEE" w14:textId="77777777" w:rsidR="00C31C69" w:rsidRDefault="00C31C69" w:rsidP="00581B0B">
      <w:pPr>
        <w:spacing w:after="0" w:line="276" w:lineRule="auto"/>
        <w:rPr>
          <w:rFonts w:ascii="Century Gothic" w:eastAsiaTheme="majorEastAsia" w:hAnsi="Century Gothic" w:cstheme="majorBidi"/>
          <w:b/>
          <w:bCs/>
          <w:color w:val="4EAFC6"/>
          <w:sz w:val="21"/>
          <w:szCs w:val="21"/>
          <w:lang w:eastAsia="en-US"/>
        </w:rPr>
      </w:pPr>
    </w:p>
    <w:p w14:paraId="7858FDD6" w14:textId="11F9BF00" w:rsidR="00C31C69" w:rsidRDefault="00C31C69" w:rsidP="00581B0B">
      <w:pPr>
        <w:spacing w:after="0" w:line="276" w:lineRule="auto"/>
        <w:rPr>
          <w:rFonts w:ascii="Century Gothic" w:eastAsiaTheme="majorEastAsia" w:hAnsi="Century Gothic" w:cstheme="majorBidi"/>
          <w:b/>
          <w:bCs/>
          <w:color w:val="4EAFC6"/>
          <w:sz w:val="21"/>
          <w:szCs w:val="21"/>
          <w:lang w:eastAsia="en-US"/>
        </w:rPr>
      </w:pPr>
      <w:r>
        <w:rPr>
          <w:rFonts w:ascii="Century Gothic" w:eastAsiaTheme="majorEastAsia" w:hAnsi="Century Gothic" w:cstheme="majorBidi"/>
          <w:b/>
          <w:bCs/>
          <w:noProof/>
          <w:color w:val="4EAFC6"/>
          <w:sz w:val="21"/>
          <w:szCs w:val="21"/>
        </w:rPr>
        <w:drawing>
          <wp:inline distT="0" distB="0" distL="0" distR="0" wp14:anchorId="48EC1716" wp14:editId="21B40392">
            <wp:extent cx="6296025" cy="2781300"/>
            <wp:effectExtent l="0" t="0" r="9525" b="0"/>
            <wp:docPr id="23" name="Picture 23" descr="C:\Users\Tahu\Desktop\age specific reo over 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hu\Desktop\age specific reo over tim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96025" cy="2781300"/>
                    </a:xfrm>
                    <a:prstGeom prst="rect">
                      <a:avLst/>
                    </a:prstGeom>
                    <a:noFill/>
                    <a:ln>
                      <a:noFill/>
                    </a:ln>
                  </pic:spPr>
                </pic:pic>
              </a:graphicData>
            </a:graphic>
          </wp:inline>
        </w:drawing>
      </w:r>
    </w:p>
    <w:p w14:paraId="5FD97B35" w14:textId="77777777" w:rsidR="00F64A53" w:rsidRDefault="00F64A53" w:rsidP="00581B0B">
      <w:pPr>
        <w:spacing w:after="0" w:line="276" w:lineRule="auto"/>
        <w:rPr>
          <w:rFonts w:ascii="Century Gothic" w:eastAsiaTheme="majorEastAsia" w:hAnsi="Century Gothic" w:cstheme="majorBidi"/>
          <w:b/>
          <w:bCs/>
          <w:color w:val="4EAFC6"/>
          <w:sz w:val="21"/>
          <w:szCs w:val="21"/>
          <w:lang w:eastAsia="en-US"/>
        </w:rPr>
      </w:pPr>
    </w:p>
    <w:p w14:paraId="35589511" w14:textId="77777777" w:rsidR="00F64A53" w:rsidRDefault="00F64A53" w:rsidP="00581B0B">
      <w:pPr>
        <w:spacing w:after="0" w:line="276" w:lineRule="auto"/>
        <w:rPr>
          <w:rFonts w:ascii="Century Gothic" w:eastAsiaTheme="majorEastAsia" w:hAnsi="Century Gothic" w:cstheme="majorBidi"/>
          <w:b/>
          <w:bCs/>
          <w:color w:val="4EAFC6"/>
          <w:sz w:val="21"/>
          <w:szCs w:val="21"/>
          <w:lang w:eastAsia="en-US"/>
        </w:rPr>
      </w:pPr>
    </w:p>
    <w:p w14:paraId="4D4B4060" w14:textId="25A8C09B" w:rsidR="00581B0B" w:rsidRPr="00B65158" w:rsidRDefault="00581B0B" w:rsidP="0065189F">
      <w:pPr>
        <w:pStyle w:val="Heading2"/>
        <w:numPr>
          <w:ilvl w:val="1"/>
          <w:numId w:val="2"/>
        </w:numPr>
        <w:pBdr>
          <w:bottom w:val="single" w:sz="4" w:space="1" w:color="42AAC2"/>
        </w:pBdr>
        <w:ind w:left="567" w:hanging="567"/>
        <w:rPr>
          <w:rFonts w:ascii="Century Gothic" w:hAnsi="Century Gothic"/>
          <w:b/>
          <w:bCs/>
          <w:color w:val="1F4D78"/>
        </w:rPr>
      </w:pPr>
      <w:bookmarkStart w:id="25" w:name="_Toc491783047"/>
      <w:r>
        <w:rPr>
          <w:rFonts w:ascii="Century Gothic" w:hAnsi="Century Gothic"/>
          <w:b/>
          <w:bCs/>
          <w:color w:val="1F4D78"/>
        </w:rPr>
        <w:t>Spatial distribution</w:t>
      </w:r>
      <w:bookmarkEnd w:id="25"/>
    </w:p>
    <w:p w14:paraId="4AB3AC78" w14:textId="77777777" w:rsidR="00581B0B" w:rsidRDefault="00581B0B" w:rsidP="00581B0B">
      <w:pPr>
        <w:spacing w:after="0" w:line="276" w:lineRule="auto"/>
        <w:rPr>
          <w:rFonts w:ascii="Century Gothic" w:hAnsi="Century Gothic"/>
          <w:b/>
          <w:bCs/>
          <w:color w:val="44546A"/>
          <w:sz w:val="20"/>
          <w:szCs w:val="20"/>
        </w:rPr>
      </w:pPr>
    </w:p>
    <w:p w14:paraId="3B9CEE28" w14:textId="31B13EFA" w:rsidR="00581B0B" w:rsidRPr="00DE7843" w:rsidRDefault="008B1B8A" w:rsidP="00995709">
      <w:pPr>
        <w:spacing w:after="0" w:line="360" w:lineRule="auto"/>
        <w:rPr>
          <w:rFonts w:ascii="Century Gothic" w:hAnsi="Century Gothic"/>
          <w:sz w:val="21"/>
          <w:szCs w:val="21"/>
        </w:rPr>
      </w:pPr>
      <w:r w:rsidRPr="00DE7843">
        <w:rPr>
          <w:rFonts w:ascii="Century Gothic" w:hAnsi="Century Gothic"/>
          <w:sz w:val="21"/>
          <w:szCs w:val="21"/>
        </w:rPr>
        <w:t>Turning to geographic</w:t>
      </w:r>
      <w:r w:rsidR="00BF5D2B" w:rsidRPr="00DE7843">
        <w:rPr>
          <w:rFonts w:ascii="Century Gothic" w:hAnsi="Century Gothic"/>
          <w:sz w:val="21"/>
          <w:szCs w:val="21"/>
        </w:rPr>
        <w:t xml:space="preserve"> location, Table 1.1 shows the distribution of </w:t>
      </w:r>
      <w:proofErr w:type="spellStart"/>
      <w:r w:rsidR="00BF5D2B" w:rsidRPr="00DE7843">
        <w:rPr>
          <w:rFonts w:ascii="Century Gothic" w:hAnsi="Century Gothic"/>
          <w:sz w:val="21"/>
          <w:szCs w:val="21"/>
        </w:rPr>
        <w:t>Ngāi</w:t>
      </w:r>
      <w:proofErr w:type="spellEnd"/>
      <w:r w:rsidR="00BF5D2B" w:rsidRPr="00DE7843">
        <w:rPr>
          <w:rFonts w:ascii="Century Gothic" w:hAnsi="Century Gothic"/>
          <w:sz w:val="21"/>
          <w:szCs w:val="21"/>
        </w:rPr>
        <w:t xml:space="preserve"> </w:t>
      </w:r>
      <w:proofErr w:type="spellStart"/>
      <w:r w:rsidR="00BF5D2B" w:rsidRPr="00DE7843">
        <w:rPr>
          <w:rFonts w:ascii="Century Gothic" w:hAnsi="Century Gothic"/>
          <w:sz w:val="21"/>
          <w:szCs w:val="21"/>
        </w:rPr>
        <w:t>Tāmanuhiri</w:t>
      </w:r>
      <w:proofErr w:type="spellEnd"/>
      <w:r w:rsidR="00BF5D2B" w:rsidRPr="00DE7843">
        <w:rPr>
          <w:rFonts w:ascii="Century Gothic" w:hAnsi="Century Gothic"/>
          <w:sz w:val="21"/>
          <w:szCs w:val="21"/>
        </w:rPr>
        <w:t xml:space="preserve"> by Regional Council area in 2013. Ju</w:t>
      </w:r>
      <w:r w:rsidR="008F68BE" w:rsidRPr="00DE7843">
        <w:rPr>
          <w:rFonts w:ascii="Century Gothic" w:hAnsi="Century Gothic"/>
          <w:sz w:val="21"/>
          <w:szCs w:val="21"/>
        </w:rPr>
        <w:t>s</w:t>
      </w:r>
      <w:r w:rsidR="00BF5D2B" w:rsidRPr="00DE7843">
        <w:rPr>
          <w:rFonts w:ascii="Century Gothic" w:hAnsi="Century Gothic"/>
          <w:sz w:val="21"/>
          <w:szCs w:val="21"/>
        </w:rPr>
        <w:t xml:space="preserve">t over two fifths of the </w:t>
      </w:r>
      <w:r w:rsidR="0051164A" w:rsidRPr="00DE7843">
        <w:rPr>
          <w:rFonts w:ascii="Century Gothic" w:hAnsi="Century Gothic"/>
          <w:sz w:val="21"/>
          <w:szCs w:val="21"/>
        </w:rPr>
        <w:t>iwi</w:t>
      </w:r>
      <w:r w:rsidR="00BF5D2B" w:rsidRPr="00DE7843">
        <w:rPr>
          <w:rFonts w:ascii="Century Gothic" w:hAnsi="Century Gothic"/>
          <w:sz w:val="21"/>
          <w:szCs w:val="21"/>
        </w:rPr>
        <w:t xml:space="preserve"> lived </w:t>
      </w:r>
      <w:r w:rsidR="00581B0B" w:rsidRPr="00DE7843">
        <w:rPr>
          <w:rFonts w:ascii="Century Gothic" w:hAnsi="Century Gothic"/>
          <w:sz w:val="21"/>
          <w:szCs w:val="21"/>
        </w:rPr>
        <w:t>in</w:t>
      </w:r>
      <w:r w:rsidR="00995709">
        <w:rPr>
          <w:rFonts w:ascii="Century Gothic" w:hAnsi="Century Gothic"/>
          <w:sz w:val="21"/>
          <w:szCs w:val="21"/>
        </w:rPr>
        <w:t xml:space="preserve"> the</w:t>
      </w:r>
      <w:r w:rsidR="00581B0B" w:rsidRPr="00DE7843">
        <w:rPr>
          <w:rFonts w:ascii="Century Gothic" w:hAnsi="Century Gothic"/>
          <w:sz w:val="21"/>
          <w:szCs w:val="21"/>
        </w:rPr>
        <w:t xml:space="preserve"> </w:t>
      </w:r>
      <w:proofErr w:type="spellStart"/>
      <w:r w:rsidR="00581B0B" w:rsidRPr="00DE7843">
        <w:rPr>
          <w:rFonts w:ascii="Century Gothic" w:hAnsi="Century Gothic"/>
          <w:sz w:val="21"/>
          <w:szCs w:val="21"/>
        </w:rPr>
        <w:t>Gisborne</w:t>
      </w:r>
      <w:proofErr w:type="spellEnd"/>
      <w:r w:rsidR="00BF5D2B" w:rsidRPr="00DE7843">
        <w:rPr>
          <w:rFonts w:ascii="Century Gothic" w:hAnsi="Century Gothic"/>
          <w:sz w:val="21"/>
          <w:szCs w:val="21"/>
        </w:rPr>
        <w:t xml:space="preserve"> Region</w:t>
      </w:r>
      <w:r w:rsidR="002810CD" w:rsidRPr="00DE7843">
        <w:rPr>
          <w:rFonts w:ascii="Century Gothic" w:hAnsi="Century Gothic"/>
          <w:sz w:val="21"/>
          <w:szCs w:val="21"/>
        </w:rPr>
        <w:t xml:space="preserve"> (n=714)</w:t>
      </w:r>
      <w:r w:rsidR="00BF5D2B" w:rsidRPr="00DE7843">
        <w:rPr>
          <w:rFonts w:ascii="Century Gothic" w:hAnsi="Century Gothic"/>
          <w:sz w:val="21"/>
          <w:szCs w:val="21"/>
        </w:rPr>
        <w:t>, with further significant clusters in Wellington</w:t>
      </w:r>
      <w:r w:rsidR="002810CD" w:rsidRPr="00DE7843">
        <w:rPr>
          <w:rFonts w:ascii="Century Gothic" w:hAnsi="Century Gothic"/>
          <w:sz w:val="21"/>
          <w:szCs w:val="21"/>
        </w:rPr>
        <w:t xml:space="preserve"> (n=210)</w:t>
      </w:r>
      <w:r w:rsidR="00BF5D2B" w:rsidRPr="00DE7843">
        <w:rPr>
          <w:rFonts w:ascii="Century Gothic" w:hAnsi="Century Gothic"/>
          <w:sz w:val="21"/>
          <w:szCs w:val="21"/>
        </w:rPr>
        <w:t xml:space="preserve">, Hawke’s Bay </w:t>
      </w:r>
      <w:r w:rsidR="002810CD" w:rsidRPr="00DE7843">
        <w:rPr>
          <w:rFonts w:ascii="Century Gothic" w:hAnsi="Century Gothic"/>
          <w:sz w:val="21"/>
          <w:szCs w:val="21"/>
        </w:rPr>
        <w:t xml:space="preserve">(n=174) </w:t>
      </w:r>
      <w:r w:rsidR="00BF5D2B" w:rsidRPr="00DE7843">
        <w:rPr>
          <w:rFonts w:ascii="Century Gothic" w:hAnsi="Century Gothic"/>
          <w:sz w:val="21"/>
          <w:szCs w:val="21"/>
        </w:rPr>
        <w:t>and Auckland</w:t>
      </w:r>
      <w:r w:rsidR="002810CD" w:rsidRPr="00DE7843">
        <w:rPr>
          <w:rFonts w:ascii="Century Gothic" w:hAnsi="Century Gothic"/>
          <w:sz w:val="21"/>
          <w:szCs w:val="21"/>
        </w:rPr>
        <w:t xml:space="preserve"> (n=171)</w:t>
      </w:r>
      <w:r w:rsidR="00BF5D2B" w:rsidRPr="00DE7843">
        <w:rPr>
          <w:rFonts w:ascii="Century Gothic" w:hAnsi="Century Gothic"/>
          <w:sz w:val="21"/>
          <w:szCs w:val="21"/>
        </w:rPr>
        <w:t xml:space="preserve">. </w:t>
      </w:r>
      <w:r w:rsidR="00734050" w:rsidRPr="00DE7843">
        <w:rPr>
          <w:rFonts w:ascii="Century Gothic" w:hAnsi="Century Gothic"/>
          <w:sz w:val="21"/>
          <w:szCs w:val="21"/>
        </w:rPr>
        <w:t>The</w:t>
      </w:r>
      <w:r w:rsidR="00BF5D2B" w:rsidRPr="00DE7843">
        <w:rPr>
          <w:rFonts w:ascii="Century Gothic" w:hAnsi="Century Gothic"/>
          <w:sz w:val="21"/>
          <w:szCs w:val="21"/>
        </w:rPr>
        <w:t xml:space="preserve"> </w:t>
      </w:r>
      <w:r w:rsidR="0051164A" w:rsidRPr="00DE7843">
        <w:rPr>
          <w:rFonts w:ascii="Century Gothic" w:hAnsi="Century Gothic"/>
          <w:sz w:val="21"/>
          <w:szCs w:val="21"/>
        </w:rPr>
        <w:t xml:space="preserve">share of </w:t>
      </w:r>
      <w:proofErr w:type="spellStart"/>
      <w:r w:rsidR="00BF5D2B" w:rsidRPr="00DE7843">
        <w:rPr>
          <w:rFonts w:ascii="Century Gothic" w:hAnsi="Century Gothic"/>
          <w:sz w:val="21"/>
          <w:szCs w:val="21"/>
        </w:rPr>
        <w:t>Ngāi</w:t>
      </w:r>
      <w:proofErr w:type="spellEnd"/>
      <w:r w:rsidR="00BF5D2B" w:rsidRPr="00DE7843">
        <w:rPr>
          <w:rFonts w:ascii="Century Gothic" w:hAnsi="Century Gothic"/>
          <w:sz w:val="21"/>
          <w:szCs w:val="21"/>
        </w:rPr>
        <w:t xml:space="preserve"> </w:t>
      </w:r>
      <w:proofErr w:type="spellStart"/>
      <w:r w:rsidR="00BF5D2B" w:rsidRPr="00DE7843">
        <w:rPr>
          <w:rFonts w:ascii="Century Gothic" w:hAnsi="Century Gothic"/>
          <w:sz w:val="21"/>
          <w:szCs w:val="21"/>
        </w:rPr>
        <w:t>Tāmanuhiri</w:t>
      </w:r>
      <w:proofErr w:type="spellEnd"/>
      <w:r w:rsidR="00BF5D2B" w:rsidRPr="00DE7843">
        <w:rPr>
          <w:rFonts w:ascii="Century Gothic" w:hAnsi="Century Gothic"/>
          <w:sz w:val="21"/>
          <w:szCs w:val="21"/>
        </w:rPr>
        <w:t xml:space="preserve"> living within the </w:t>
      </w:r>
      <w:r w:rsidR="000E7F08" w:rsidRPr="00DE7843">
        <w:rPr>
          <w:rFonts w:ascii="Century Gothic" w:hAnsi="Century Gothic"/>
          <w:sz w:val="21"/>
          <w:szCs w:val="21"/>
        </w:rPr>
        <w:t xml:space="preserve">broad iwi </w:t>
      </w:r>
      <w:proofErr w:type="spellStart"/>
      <w:r w:rsidR="000E7F08" w:rsidRPr="00DE7843">
        <w:rPr>
          <w:rFonts w:ascii="Century Gothic" w:hAnsi="Century Gothic"/>
          <w:sz w:val="21"/>
          <w:szCs w:val="21"/>
        </w:rPr>
        <w:t>rohe</w:t>
      </w:r>
      <w:proofErr w:type="spellEnd"/>
      <w:r w:rsidR="000E7F08" w:rsidRPr="00DE7843">
        <w:rPr>
          <w:rFonts w:ascii="Century Gothic" w:hAnsi="Century Gothic"/>
          <w:sz w:val="21"/>
          <w:szCs w:val="21"/>
        </w:rPr>
        <w:t xml:space="preserve"> is</w:t>
      </w:r>
      <w:r w:rsidRPr="00DE7843">
        <w:rPr>
          <w:rFonts w:ascii="Century Gothic" w:hAnsi="Century Gothic"/>
          <w:sz w:val="21"/>
          <w:szCs w:val="21"/>
        </w:rPr>
        <w:t xml:space="preserve"> relatively high compared to other iwi</w:t>
      </w:r>
      <w:r w:rsidR="00BF5D2B" w:rsidRPr="00DE7843">
        <w:rPr>
          <w:rFonts w:ascii="Century Gothic" w:hAnsi="Century Gothic"/>
          <w:sz w:val="21"/>
          <w:szCs w:val="21"/>
        </w:rPr>
        <w:t xml:space="preserve">. Previous research has shown that </w:t>
      </w:r>
      <w:r w:rsidRPr="00DE7843">
        <w:rPr>
          <w:rFonts w:ascii="Century Gothic" w:hAnsi="Century Gothic"/>
          <w:sz w:val="21"/>
          <w:szCs w:val="21"/>
        </w:rPr>
        <w:t>only about 15 per cent of all iwi have half or more of their popu</w:t>
      </w:r>
      <w:r w:rsidR="000E7F08" w:rsidRPr="00DE7843">
        <w:rPr>
          <w:rFonts w:ascii="Century Gothic" w:hAnsi="Century Gothic"/>
          <w:sz w:val="21"/>
          <w:szCs w:val="21"/>
        </w:rPr>
        <w:t>lation living within</w:t>
      </w:r>
      <w:r w:rsidR="00DE7843">
        <w:rPr>
          <w:rFonts w:ascii="Century Gothic" w:hAnsi="Century Gothic"/>
          <w:sz w:val="21"/>
          <w:szCs w:val="21"/>
        </w:rPr>
        <w:t xml:space="preserve"> their</w:t>
      </w:r>
      <w:r w:rsidR="000E7F08" w:rsidRPr="00DE7843">
        <w:rPr>
          <w:rFonts w:ascii="Century Gothic" w:hAnsi="Century Gothic"/>
          <w:sz w:val="21"/>
          <w:szCs w:val="21"/>
        </w:rPr>
        <w:t xml:space="preserve"> </w:t>
      </w:r>
      <w:proofErr w:type="spellStart"/>
      <w:r w:rsidRPr="00DE7843">
        <w:rPr>
          <w:rFonts w:ascii="Century Gothic" w:hAnsi="Century Gothic"/>
          <w:sz w:val="21"/>
          <w:szCs w:val="21"/>
        </w:rPr>
        <w:t>rohe</w:t>
      </w:r>
      <w:proofErr w:type="spellEnd"/>
      <w:r w:rsidRPr="00DE7843">
        <w:rPr>
          <w:rFonts w:ascii="Century Gothic" w:hAnsi="Century Gothic"/>
          <w:sz w:val="21"/>
          <w:szCs w:val="21"/>
        </w:rPr>
        <w:t xml:space="preserve">, </w:t>
      </w:r>
      <w:r w:rsidR="00734050" w:rsidRPr="00DE7843">
        <w:rPr>
          <w:rFonts w:ascii="Century Gothic" w:hAnsi="Century Gothic"/>
          <w:sz w:val="21"/>
          <w:szCs w:val="21"/>
        </w:rPr>
        <w:t xml:space="preserve">and 21 per cent </w:t>
      </w:r>
      <w:r w:rsidRPr="00DE7843">
        <w:rPr>
          <w:rFonts w:ascii="Century Gothic" w:hAnsi="Century Gothic"/>
          <w:sz w:val="21"/>
          <w:szCs w:val="21"/>
        </w:rPr>
        <w:t xml:space="preserve">have one fifth or less of their people living within </w:t>
      </w:r>
      <w:r w:rsidR="0051164A" w:rsidRPr="00DE7843">
        <w:rPr>
          <w:rFonts w:ascii="Century Gothic" w:hAnsi="Century Gothic"/>
          <w:sz w:val="21"/>
          <w:szCs w:val="21"/>
        </w:rPr>
        <w:t xml:space="preserve">their </w:t>
      </w:r>
      <w:proofErr w:type="spellStart"/>
      <w:r w:rsidRPr="00DE7843">
        <w:rPr>
          <w:rFonts w:ascii="Century Gothic" w:hAnsi="Century Gothic"/>
          <w:sz w:val="21"/>
          <w:szCs w:val="21"/>
        </w:rPr>
        <w:t>rohe</w:t>
      </w:r>
      <w:proofErr w:type="spellEnd"/>
      <w:r w:rsidRPr="00DE7843">
        <w:rPr>
          <w:rFonts w:ascii="Century Gothic" w:hAnsi="Century Gothic"/>
          <w:sz w:val="21"/>
          <w:szCs w:val="21"/>
        </w:rPr>
        <w:t xml:space="preserve"> </w:t>
      </w:r>
      <w:r w:rsidR="00BF5D2B" w:rsidRPr="00DE7843">
        <w:rPr>
          <w:rFonts w:ascii="Century Gothic" w:hAnsi="Century Gothic"/>
          <w:sz w:val="21"/>
          <w:szCs w:val="21"/>
        </w:rPr>
        <w:t xml:space="preserve">(Simmonds, </w:t>
      </w:r>
      <w:proofErr w:type="spellStart"/>
      <w:r w:rsidR="00BF5D2B" w:rsidRPr="00DE7843">
        <w:rPr>
          <w:rFonts w:ascii="Century Gothic" w:hAnsi="Century Gothic"/>
          <w:sz w:val="21"/>
          <w:szCs w:val="21"/>
        </w:rPr>
        <w:t>Kukutai</w:t>
      </w:r>
      <w:proofErr w:type="spellEnd"/>
      <w:r w:rsidR="00DE7843">
        <w:rPr>
          <w:rFonts w:ascii="Century Gothic" w:hAnsi="Century Gothic"/>
          <w:sz w:val="21"/>
          <w:szCs w:val="21"/>
        </w:rPr>
        <w:t>,</w:t>
      </w:r>
      <w:r w:rsidR="00BF5D2B" w:rsidRPr="00DE7843">
        <w:rPr>
          <w:rFonts w:ascii="Century Gothic" w:hAnsi="Century Gothic"/>
          <w:sz w:val="21"/>
          <w:szCs w:val="21"/>
        </w:rPr>
        <w:t xml:space="preserve"> &amp; </w:t>
      </w:r>
      <w:proofErr w:type="spellStart"/>
      <w:r w:rsidR="00BF5D2B" w:rsidRPr="00DE7843">
        <w:rPr>
          <w:rFonts w:ascii="Century Gothic" w:hAnsi="Century Gothic"/>
          <w:sz w:val="21"/>
          <w:szCs w:val="21"/>
        </w:rPr>
        <w:t>Ryks</w:t>
      </w:r>
      <w:proofErr w:type="spellEnd"/>
      <w:r w:rsidR="00BF5D2B" w:rsidRPr="00DE7843">
        <w:rPr>
          <w:rFonts w:ascii="Century Gothic" w:hAnsi="Century Gothic"/>
          <w:sz w:val="21"/>
          <w:szCs w:val="21"/>
        </w:rPr>
        <w:t>, 2016).</w:t>
      </w:r>
    </w:p>
    <w:p w14:paraId="15CDDC7A" w14:textId="7036845E" w:rsidR="00657576" w:rsidRPr="00BF5D2B" w:rsidRDefault="00657576" w:rsidP="00BF5D2B">
      <w:pPr>
        <w:spacing w:after="0" w:line="360" w:lineRule="auto"/>
        <w:rPr>
          <w:rFonts w:ascii="Century Gothic" w:hAnsi="Century Gothic"/>
          <w:bCs/>
          <w:color w:val="44546A"/>
          <w:sz w:val="20"/>
          <w:szCs w:val="20"/>
        </w:rPr>
      </w:pPr>
    </w:p>
    <w:p w14:paraId="5098998E" w14:textId="77777777" w:rsidR="00DE7843" w:rsidRDefault="00DE7843">
      <w:pPr>
        <w:rPr>
          <w:rFonts w:ascii="Century Gothic" w:hAnsi="Century Gothic"/>
          <w:b/>
          <w:bCs/>
          <w:color w:val="44546A"/>
          <w:sz w:val="20"/>
          <w:szCs w:val="20"/>
        </w:rPr>
      </w:pPr>
      <w:r>
        <w:rPr>
          <w:rFonts w:ascii="Century Gothic" w:hAnsi="Century Gothic"/>
          <w:b/>
          <w:bCs/>
          <w:color w:val="44546A"/>
          <w:sz w:val="20"/>
          <w:szCs w:val="20"/>
        </w:rPr>
        <w:br w:type="page"/>
      </w:r>
    </w:p>
    <w:p w14:paraId="6D07AF91" w14:textId="61D0B9C6" w:rsidR="00EC703D" w:rsidRPr="00DF212D" w:rsidRDefault="00EC703D" w:rsidP="00EC703D">
      <w:pPr>
        <w:spacing w:after="0" w:line="276" w:lineRule="auto"/>
        <w:rPr>
          <w:rFonts w:ascii="Century Gothic" w:hAnsi="Century Gothic"/>
          <w:b/>
          <w:bCs/>
          <w:color w:val="44546A"/>
          <w:sz w:val="20"/>
          <w:szCs w:val="20"/>
        </w:rPr>
      </w:pPr>
      <w:bookmarkStart w:id="26" w:name="_Toc491906360"/>
      <w:r w:rsidRPr="00EC703D">
        <w:rPr>
          <w:rFonts w:ascii="Century Gothic" w:hAnsi="Century Gothic"/>
          <w:b/>
          <w:bCs/>
          <w:color w:val="44546A"/>
          <w:sz w:val="20"/>
          <w:szCs w:val="20"/>
        </w:rPr>
        <w:lastRenderedPageBreak/>
        <w:t xml:space="preserve">Table </w:t>
      </w:r>
      <w:r w:rsidRPr="00EC703D">
        <w:rPr>
          <w:rFonts w:ascii="Century Gothic" w:hAnsi="Century Gothic"/>
          <w:b/>
          <w:bCs/>
          <w:color w:val="44546A"/>
          <w:sz w:val="20"/>
          <w:szCs w:val="20"/>
        </w:rPr>
        <w:fldChar w:fldCharType="begin"/>
      </w:r>
      <w:r w:rsidRPr="00EC703D">
        <w:rPr>
          <w:rFonts w:ascii="Century Gothic" w:hAnsi="Century Gothic"/>
          <w:b/>
          <w:bCs/>
          <w:color w:val="44546A"/>
          <w:sz w:val="20"/>
          <w:szCs w:val="20"/>
        </w:rPr>
        <w:instrText xml:space="preserve"> STYLEREF 1 \s </w:instrText>
      </w:r>
      <w:r w:rsidRPr="00EC703D">
        <w:rPr>
          <w:rFonts w:ascii="Century Gothic" w:hAnsi="Century Gothic"/>
          <w:b/>
          <w:bCs/>
          <w:color w:val="44546A"/>
          <w:sz w:val="20"/>
          <w:szCs w:val="20"/>
        </w:rPr>
        <w:fldChar w:fldCharType="separate"/>
      </w:r>
      <w:r w:rsidR="001304E9">
        <w:rPr>
          <w:rFonts w:ascii="Century Gothic" w:hAnsi="Century Gothic" w:hint="cs"/>
          <w:b/>
          <w:bCs/>
          <w:noProof/>
          <w:color w:val="44546A"/>
          <w:sz w:val="20"/>
          <w:szCs w:val="20"/>
          <w:cs/>
        </w:rPr>
        <w:t>‎</w:t>
      </w:r>
      <w:r w:rsidR="001304E9">
        <w:rPr>
          <w:rFonts w:ascii="Century Gothic" w:hAnsi="Century Gothic"/>
          <w:b/>
          <w:bCs/>
          <w:noProof/>
          <w:color w:val="44546A"/>
          <w:sz w:val="20"/>
          <w:szCs w:val="20"/>
        </w:rPr>
        <w:t>1</w:t>
      </w:r>
      <w:r w:rsidRPr="00EC703D">
        <w:rPr>
          <w:rFonts w:ascii="Century Gothic" w:hAnsi="Century Gothic"/>
          <w:b/>
          <w:bCs/>
          <w:color w:val="44546A"/>
          <w:sz w:val="20"/>
          <w:szCs w:val="20"/>
        </w:rPr>
        <w:fldChar w:fldCharType="end"/>
      </w:r>
      <w:r w:rsidRPr="00EC703D">
        <w:rPr>
          <w:rFonts w:ascii="Century Gothic" w:hAnsi="Century Gothic"/>
          <w:b/>
          <w:bCs/>
          <w:color w:val="44546A"/>
          <w:sz w:val="20"/>
          <w:szCs w:val="20"/>
        </w:rPr>
        <w:t>.</w:t>
      </w:r>
      <w:r w:rsidRPr="00EC703D">
        <w:rPr>
          <w:rFonts w:ascii="Century Gothic" w:hAnsi="Century Gothic"/>
          <w:b/>
          <w:bCs/>
          <w:color w:val="44546A"/>
          <w:sz w:val="20"/>
          <w:szCs w:val="20"/>
        </w:rPr>
        <w:fldChar w:fldCharType="begin"/>
      </w:r>
      <w:r w:rsidRPr="00EC703D">
        <w:rPr>
          <w:rFonts w:ascii="Century Gothic" w:hAnsi="Century Gothic"/>
          <w:b/>
          <w:bCs/>
          <w:color w:val="44546A"/>
          <w:sz w:val="20"/>
          <w:szCs w:val="20"/>
        </w:rPr>
        <w:instrText xml:space="preserve"> SEQ Table \* ARABIC \s 1 </w:instrText>
      </w:r>
      <w:r w:rsidRPr="00EC703D">
        <w:rPr>
          <w:rFonts w:ascii="Century Gothic" w:hAnsi="Century Gothic"/>
          <w:b/>
          <w:bCs/>
          <w:color w:val="44546A"/>
          <w:sz w:val="20"/>
          <w:szCs w:val="20"/>
        </w:rPr>
        <w:fldChar w:fldCharType="separate"/>
      </w:r>
      <w:r w:rsidR="001304E9">
        <w:rPr>
          <w:rFonts w:ascii="Century Gothic" w:hAnsi="Century Gothic"/>
          <w:b/>
          <w:bCs/>
          <w:noProof/>
          <w:color w:val="44546A"/>
          <w:sz w:val="20"/>
          <w:szCs w:val="20"/>
        </w:rPr>
        <w:t>2</w:t>
      </w:r>
      <w:r w:rsidRPr="00EC703D">
        <w:rPr>
          <w:rFonts w:ascii="Century Gothic" w:hAnsi="Century Gothic"/>
          <w:b/>
          <w:bCs/>
          <w:color w:val="44546A"/>
          <w:sz w:val="20"/>
          <w:szCs w:val="20"/>
        </w:rPr>
        <w:fldChar w:fldCharType="end"/>
      </w:r>
      <w:r w:rsidRPr="00EC703D">
        <w:rPr>
          <w:rFonts w:ascii="Century Gothic" w:hAnsi="Century Gothic"/>
          <w:b/>
          <w:bCs/>
          <w:color w:val="44546A"/>
          <w:sz w:val="20"/>
          <w:szCs w:val="20"/>
        </w:rPr>
        <w:t xml:space="preserve"> </w:t>
      </w:r>
      <w:r>
        <w:rPr>
          <w:rFonts w:ascii="Century Gothic" w:hAnsi="Century Gothic"/>
          <w:b/>
          <w:bCs/>
          <w:color w:val="44546A"/>
          <w:sz w:val="20"/>
          <w:szCs w:val="20"/>
        </w:rPr>
        <w:t>Distribution of the u</w:t>
      </w:r>
      <w:r w:rsidRPr="00DF212D">
        <w:rPr>
          <w:rFonts w:ascii="Century Gothic" w:hAnsi="Century Gothic"/>
          <w:b/>
          <w:bCs/>
          <w:color w:val="44546A"/>
          <w:sz w:val="20"/>
          <w:szCs w:val="20"/>
        </w:rPr>
        <w:t xml:space="preserve">sually resident population of </w:t>
      </w:r>
      <w:proofErr w:type="spellStart"/>
      <w:r w:rsidR="008B1B8A">
        <w:rPr>
          <w:rFonts w:ascii="Century Gothic" w:hAnsi="Century Gothic"/>
          <w:b/>
          <w:bCs/>
          <w:color w:val="44546A"/>
          <w:sz w:val="20"/>
          <w:szCs w:val="20"/>
        </w:rPr>
        <w:t>Ngāi</w:t>
      </w:r>
      <w:proofErr w:type="spellEnd"/>
      <w:r w:rsidRPr="00DF212D">
        <w:rPr>
          <w:rFonts w:ascii="Century Gothic" w:hAnsi="Century Gothic"/>
          <w:b/>
          <w:bCs/>
          <w:color w:val="44546A"/>
          <w:sz w:val="20"/>
          <w:szCs w:val="20"/>
        </w:rPr>
        <w:t xml:space="preserve"> </w:t>
      </w:r>
      <w:proofErr w:type="spellStart"/>
      <w:r w:rsidRPr="00DF212D">
        <w:rPr>
          <w:rFonts w:ascii="Century Gothic" w:hAnsi="Century Gothic"/>
          <w:b/>
          <w:bCs/>
          <w:color w:val="44546A"/>
          <w:sz w:val="20"/>
          <w:szCs w:val="20"/>
        </w:rPr>
        <w:t>Tāmanuhiri</w:t>
      </w:r>
      <w:proofErr w:type="spellEnd"/>
      <w:r>
        <w:rPr>
          <w:rFonts w:ascii="Century Gothic" w:hAnsi="Century Gothic"/>
          <w:b/>
          <w:bCs/>
          <w:color w:val="44546A"/>
          <w:sz w:val="20"/>
          <w:szCs w:val="20"/>
        </w:rPr>
        <w:t xml:space="preserve"> iwi across regions; Census 2013</w:t>
      </w:r>
      <w:bookmarkEnd w:id="26"/>
    </w:p>
    <w:p w14:paraId="0FC538CF" w14:textId="68CB3330" w:rsidR="00FE651C" w:rsidRPr="00DF212D" w:rsidRDefault="00EC703D" w:rsidP="006001B0">
      <w:pPr>
        <w:spacing w:after="0" w:line="276" w:lineRule="auto"/>
        <w:rPr>
          <w:rFonts w:ascii="Century Gothic" w:hAnsi="Century Gothic"/>
          <w:b/>
          <w:bCs/>
          <w:color w:val="44546A"/>
          <w:sz w:val="20"/>
          <w:szCs w:val="20"/>
        </w:rPr>
      </w:pPr>
      <w:r w:rsidRPr="00EC703D">
        <w:rPr>
          <w:noProof/>
        </w:rPr>
        <w:drawing>
          <wp:anchor distT="0" distB="0" distL="114300" distR="114300" simplePos="0" relativeHeight="252311552" behindDoc="1" locked="0" layoutInCell="1" allowOverlap="1" wp14:anchorId="4DFC20C4" wp14:editId="31072196">
            <wp:simplePos x="0" y="0"/>
            <wp:positionH relativeFrom="column">
              <wp:posOffset>-2180</wp:posOffset>
            </wp:positionH>
            <wp:positionV relativeFrom="paragraph">
              <wp:posOffset>66802</wp:posOffset>
            </wp:positionV>
            <wp:extent cx="4892400" cy="2275200"/>
            <wp:effectExtent l="0" t="0" r="3810" b="0"/>
            <wp:wrapTight wrapText="bothSides">
              <wp:wrapPolygon edited="0">
                <wp:start x="0" y="0"/>
                <wp:lineTo x="0" y="5789"/>
                <wp:lineTo x="168" y="6151"/>
                <wp:lineTo x="1262" y="6151"/>
                <wp:lineTo x="0" y="7236"/>
                <wp:lineTo x="0" y="8141"/>
                <wp:lineTo x="14720" y="9045"/>
                <wp:lineTo x="0" y="9226"/>
                <wp:lineTo x="0" y="14111"/>
                <wp:lineTo x="4121" y="14834"/>
                <wp:lineTo x="0" y="15196"/>
                <wp:lineTo x="0" y="18995"/>
                <wp:lineTo x="14720" y="20623"/>
                <wp:lineTo x="0" y="20985"/>
                <wp:lineTo x="0" y="21347"/>
                <wp:lineTo x="21533" y="21347"/>
                <wp:lineTo x="21533" y="0"/>
                <wp:lineTo x="0" y="0"/>
              </wp:wrapPolygon>
            </wp:wrapTight>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92400" cy="227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21183F" w14:textId="1D83EA96" w:rsidR="00FE651C" w:rsidRPr="00DF212D" w:rsidRDefault="00FE651C" w:rsidP="006001B0">
      <w:pPr>
        <w:spacing w:after="0" w:line="276" w:lineRule="auto"/>
        <w:rPr>
          <w:rFonts w:ascii="Century Gothic" w:hAnsi="Century Gothic"/>
          <w:b/>
          <w:bCs/>
          <w:color w:val="44546A"/>
          <w:sz w:val="20"/>
          <w:szCs w:val="20"/>
        </w:rPr>
      </w:pPr>
    </w:p>
    <w:p w14:paraId="3CABE175" w14:textId="05F30233" w:rsidR="00FE651C" w:rsidRPr="00DF212D" w:rsidRDefault="00FE651C" w:rsidP="006001B0">
      <w:pPr>
        <w:spacing w:after="0" w:line="276" w:lineRule="auto"/>
        <w:rPr>
          <w:rFonts w:ascii="Century Gothic" w:hAnsi="Century Gothic"/>
          <w:b/>
          <w:bCs/>
          <w:color w:val="44546A"/>
          <w:sz w:val="20"/>
          <w:szCs w:val="20"/>
        </w:rPr>
      </w:pPr>
    </w:p>
    <w:p w14:paraId="28F524AA" w14:textId="347A342E" w:rsidR="00FE651C" w:rsidRDefault="00FE651C" w:rsidP="006001B0">
      <w:pPr>
        <w:spacing w:after="0" w:line="276" w:lineRule="auto"/>
        <w:rPr>
          <w:rFonts w:ascii="Century Gothic" w:hAnsi="Century Gothic"/>
          <w:b/>
          <w:bCs/>
          <w:color w:val="44546A"/>
          <w:sz w:val="20"/>
          <w:szCs w:val="20"/>
        </w:rPr>
      </w:pPr>
    </w:p>
    <w:p w14:paraId="09E993DA" w14:textId="070E362E" w:rsidR="00DF212D" w:rsidRDefault="00DF212D" w:rsidP="006001B0">
      <w:pPr>
        <w:spacing w:after="0" w:line="276" w:lineRule="auto"/>
        <w:rPr>
          <w:rFonts w:ascii="Century Gothic" w:hAnsi="Century Gothic"/>
          <w:b/>
          <w:bCs/>
          <w:color w:val="44546A"/>
          <w:sz w:val="20"/>
          <w:szCs w:val="20"/>
        </w:rPr>
      </w:pPr>
    </w:p>
    <w:p w14:paraId="47414373" w14:textId="37389159" w:rsidR="00DF212D" w:rsidRDefault="00DF212D" w:rsidP="006001B0">
      <w:pPr>
        <w:spacing w:after="0" w:line="276" w:lineRule="auto"/>
        <w:rPr>
          <w:rFonts w:ascii="Century Gothic" w:hAnsi="Century Gothic"/>
          <w:b/>
          <w:bCs/>
          <w:color w:val="44546A"/>
          <w:sz w:val="20"/>
          <w:szCs w:val="20"/>
        </w:rPr>
      </w:pPr>
    </w:p>
    <w:p w14:paraId="5B9F16A8" w14:textId="05B5D13B" w:rsidR="00DF212D" w:rsidRDefault="00DF212D" w:rsidP="006001B0">
      <w:pPr>
        <w:spacing w:after="0" w:line="276" w:lineRule="auto"/>
        <w:rPr>
          <w:rFonts w:ascii="Century Gothic" w:hAnsi="Century Gothic"/>
          <w:b/>
          <w:bCs/>
          <w:color w:val="44546A"/>
          <w:sz w:val="20"/>
          <w:szCs w:val="20"/>
        </w:rPr>
      </w:pPr>
    </w:p>
    <w:p w14:paraId="113E4B5A" w14:textId="0EAB6984" w:rsidR="00DF212D" w:rsidRDefault="00DF212D" w:rsidP="006001B0">
      <w:pPr>
        <w:spacing w:after="0" w:line="276" w:lineRule="auto"/>
        <w:rPr>
          <w:rFonts w:ascii="Century Gothic" w:hAnsi="Century Gothic"/>
          <w:b/>
          <w:bCs/>
          <w:color w:val="44546A"/>
          <w:sz w:val="20"/>
          <w:szCs w:val="20"/>
        </w:rPr>
      </w:pPr>
    </w:p>
    <w:p w14:paraId="560A02B6" w14:textId="32E2688C" w:rsidR="00DF212D" w:rsidRDefault="00DF212D" w:rsidP="006001B0">
      <w:pPr>
        <w:spacing w:after="0" w:line="276" w:lineRule="auto"/>
        <w:rPr>
          <w:rFonts w:ascii="Century Gothic" w:hAnsi="Century Gothic"/>
          <w:b/>
          <w:bCs/>
          <w:color w:val="44546A"/>
          <w:sz w:val="20"/>
          <w:szCs w:val="20"/>
        </w:rPr>
      </w:pPr>
    </w:p>
    <w:p w14:paraId="20F2548E" w14:textId="0E855CAD" w:rsidR="00DF212D" w:rsidRDefault="00DF212D" w:rsidP="006001B0">
      <w:pPr>
        <w:spacing w:after="0" w:line="276" w:lineRule="auto"/>
        <w:rPr>
          <w:rFonts w:ascii="Century Gothic" w:hAnsi="Century Gothic"/>
          <w:b/>
          <w:bCs/>
          <w:color w:val="44546A"/>
          <w:sz w:val="20"/>
          <w:szCs w:val="20"/>
        </w:rPr>
      </w:pPr>
    </w:p>
    <w:p w14:paraId="2D4107FB" w14:textId="4DC26652" w:rsidR="00DF212D" w:rsidRDefault="00DF212D" w:rsidP="006001B0">
      <w:pPr>
        <w:spacing w:after="0" w:line="276" w:lineRule="auto"/>
        <w:rPr>
          <w:rFonts w:ascii="Century Gothic" w:hAnsi="Century Gothic"/>
          <w:b/>
          <w:bCs/>
          <w:color w:val="44546A"/>
          <w:sz w:val="20"/>
          <w:szCs w:val="20"/>
        </w:rPr>
      </w:pPr>
    </w:p>
    <w:p w14:paraId="3F3F7C7E" w14:textId="4D9B428F" w:rsidR="00DF212D" w:rsidRDefault="00DF212D" w:rsidP="006001B0">
      <w:pPr>
        <w:spacing w:after="0" w:line="276" w:lineRule="auto"/>
        <w:rPr>
          <w:rFonts w:ascii="Century Gothic" w:hAnsi="Century Gothic"/>
          <w:b/>
          <w:bCs/>
          <w:color w:val="44546A"/>
          <w:sz w:val="20"/>
          <w:szCs w:val="20"/>
        </w:rPr>
      </w:pPr>
    </w:p>
    <w:p w14:paraId="58554D07" w14:textId="133C13E1" w:rsidR="00DF212D" w:rsidRDefault="00DF212D" w:rsidP="006001B0">
      <w:pPr>
        <w:spacing w:after="0" w:line="276" w:lineRule="auto"/>
        <w:rPr>
          <w:rFonts w:ascii="Century Gothic" w:hAnsi="Century Gothic"/>
          <w:b/>
          <w:bCs/>
          <w:color w:val="44546A"/>
          <w:sz w:val="20"/>
          <w:szCs w:val="20"/>
        </w:rPr>
      </w:pPr>
    </w:p>
    <w:p w14:paraId="02D36793" w14:textId="62BDA09B" w:rsidR="00DF212D" w:rsidRDefault="00DF212D" w:rsidP="006001B0">
      <w:pPr>
        <w:spacing w:after="0" w:line="276" w:lineRule="auto"/>
        <w:rPr>
          <w:rFonts w:ascii="Century Gothic" w:hAnsi="Century Gothic"/>
          <w:b/>
          <w:bCs/>
          <w:color w:val="44546A"/>
          <w:sz w:val="20"/>
          <w:szCs w:val="20"/>
        </w:rPr>
      </w:pPr>
    </w:p>
    <w:p w14:paraId="1FC7587D" w14:textId="22A4F785" w:rsidR="00DF212D" w:rsidRDefault="00DF212D" w:rsidP="006001B0">
      <w:pPr>
        <w:spacing w:after="0" w:line="276" w:lineRule="auto"/>
        <w:rPr>
          <w:rFonts w:ascii="Century Gothic" w:hAnsi="Century Gothic"/>
          <w:b/>
          <w:bCs/>
          <w:color w:val="44546A"/>
          <w:sz w:val="20"/>
          <w:szCs w:val="20"/>
        </w:rPr>
      </w:pPr>
    </w:p>
    <w:p w14:paraId="25EE2D84" w14:textId="68B3FBBC" w:rsidR="00DF212D" w:rsidRPr="00DE7843" w:rsidRDefault="008B1B8A" w:rsidP="00DE7843">
      <w:pPr>
        <w:spacing w:after="0" w:line="360" w:lineRule="auto"/>
        <w:rPr>
          <w:rFonts w:ascii="Century Gothic" w:hAnsi="Century Gothic"/>
          <w:sz w:val="21"/>
          <w:szCs w:val="21"/>
        </w:rPr>
      </w:pPr>
      <w:r w:rsidRPr="00DE7843">
        <w:rPr>
          <w:rFonts w:ascii="Century Gothic" w:hAnsi="Century Gothic"/>
          <w:sz w:val="21"/>
          <w:szCs w:val="21"/>
        </w:rPr>
        <w:t>Table 1.2 shows that the distribution</w:t>
      </w:r>
      <w:r w:rsidR="00734050" w:rsidRPr="00DE7843">
        <w:rPr>
          <w:rFonts w:ascii="Century Gothic" w:hAnsi="Century Gothic"/>
          <w:sz w:val="21"/>
          <w:szCs w:val="21"/>
        </w:rPr>
        <w:t xml:space="preserve"> of </w:t>
      </w:r>
      <w:proofErr w:type="spellStart"/>
      <w:proofErr w:type="gramStart"/>
      <w:r w:rsidR="00734050" w:rsidRPr="00DE7843">
        <w:rPr>
          <w:rFonts w:ascii="Century Gothic" w:hAnsi="Century Gothic"/>
          <w:sz w:val="21"/>
          <w:szCs w:val="21"/>
        </w:rPr>
        <w:t>te</w:t>
      </w:r>
      <w:proofErr w:type="spellEnd"/>
      <w:proofErr w:type="gramEnd"/>
      <w:r w:rsidR="00734050" w:rsidRPr="00DE7843">
        <w:rPr>
          <w:rFonts w:ascii="Century Gothic" w:hAnsi="Century Gothic"/>
          <w:sz w:val="21"/>
          <w:szCs w:val="21"/>
        </w:rPr>
        <w:t xml:space="preserve"> reo speakers was</w:t>
      </w:r>
      <w:r w:rsidRPr="00DE7843">
        <w:rPr>
          <w:rFonts w:ascii="Century Gothic" w:hAnsi="Century Gothic"/>
          <w:sz w:val="21"/>
          <w:szCs w:val="21"/>
        </w:rPr>
        <w:t xml:space="preserve"> very similar, with a slightly higher share living in </w:t>
      </w:r>
      <w:proofErr w:type="spellStart"/>
      <w:r w:rsidRPr="00DE7843">
        <w:rPr>
          <w:rFonts w:ascii="Century Gothic" w:hAnsi="Century Gothic"/>
          <w:sz w:val="21"/>
          <w:szCs w:val="21"/>
        </w:rPr>
        <w:t>Gisborne</w:t>
      </w:r>
      <w:proofErr w:type="spellEnd"/>
      <w:r w:rsidRPr="00DE7843">
        <w:rPr>
          <w:rFonts w:ascii="Century Gothic" w:hAnsi="Century Gothic"/>
          <w:sz w:val="21"/>
          <w:szCs w:val="21"/>
        </w:rPr>
        <w:t xml:space="preserve">, and a slightly lower share in Wellington. </w:t>
      </w:r>
    </w:p>
    <w:p w14:paraId="785FFD52" w14:textId="185968C4" w:rsidR="00FC2192" w:rsidRDefault="00FC2192" w:rsidP="00DE7843">
      <w:pPr>
        <w:spacing w:after="0" w:line="360" w:lineRule="auto"/>
        <w:rPr>
          <w:rFonts w:ascii="Century Gothic" w:hAnsi="Century Gothic"/>
          <w:b/>
          <w:bCs/>
          <w:color w:val="44546A"/>
          <w:sz w:val="20"/>
          <w:szCs w:val="20"/>
        </w:rPr>
      </w:pPr>
    </w:p>
    <w:p w14:paraId="1BEDC045" w14:textId="014CB7EF" w:rsidR="00A36B89" w:rsidRPr="00DF212D" w:rsidRDefault="00A36B89" w:rsidP="00A36B89">
      <w:pPr>
        <w:spacing w:after="0" w:line="276" w:lineRule="auto"/>
        <w:rPr>
          <w:rFonts w:ascii="Century Gothic" w:hAnsi="Century Gothic"/>
          <w:b/>
          <w:bCs/>
          <w:color w:val="44546A"/>
          <w:sz w:val="20"/>
          <w:szCs w:val="20"/>
        </w:rPr>
      </w:pPr>
      <w:bookmarkStart w:id="27" w:name="_Toc491906361"/>
      <w:r w:rsidRPr="00EC703D">
        <w:rPr>
          <w:rFonts w:ascii="Century Gothic" w:hAnsi="Century Gothic"/>
          <w:b/>
          <w:bCs/>
          <w:color w:val="44546A"/>
          <w:sz w:val="20"/>
          <w:szCs w:val="20"/>
        </w:rPr>
        <w:t xml:space="preserve">Table </w:t>
      </w:r>
      <w:r w:rsidRPr="00EC703D">
        <w:rPr>
          <w:rFonts w:ascii="Century Gothic" w:hAnsi="Century Gothic"/>
          <w:b/>
          <w:bCs/>
          <w:color w:val="44546A"/>
          <w:sz w:val="20"/>
          <w:szCs w:val="20"/>
        </w:rPr>
        <w:fldChar w:fldCharType="begin"/>
      </w:r>
      <w:r w:rsidRPr="00EC703D">
        <w:rPr>
          <w:rFonts w:ascii="Century Gothic" w:hAnsi="Century Gothic"/>
          <w:b/>
          <w:bCs/>
          <w:color w:val="44546A"/>
          <w:sz w:val="20"/>
          <w:szCs w:val="20"/>
        </w:rPr>
        <w:instrText xml:space="preserve"> STYLEREF 1 \s </w:instrText>
      </w:r>
      <w:r w:rsidRPr="00EC703D">
        <w:rPr>
          <w:rFonts w:ascii="Century Gothic" w:hAnsi="Century Gothic"/>
          <w:b/>
          <w:bCs/>
          <w:color w:val="44546A"/>
          <w:sz w:val="20"/>
          <w:szCs w:val="20"/>
        </w:rPr>
        <w:fldChar w:fldCharType="separate"/>
      </w:r>
      <w:r w:rsidR="001304E9">
        <w:rPr>
          <w:rFonts w:ascii="Century Gothic" w:hAnsi="Century Gothic" w:hint="cs"/>
          <w:b/>
          <w:bCs/>
          <w:noProof/>
          <w:color w:val="44546A"/>
          <w:sz w:val="20"/>
          <w:szCs w:val="20"/>
          <w:cs/>
        </w:rPr>
        <w:t>‎</w:t>
      </w:r>
      <w:r w:rsidR="001304E9">
        <w:rPr>
          <w:rFonts w:ascii="Century Gothic" w:hAnsi="Century Gothic"/>
          <w:b/>
          <w:bCs/>
          <w:noProof/>
          <w:color w:val="44546A"/>
          <w:sz w:val="20"/>
          <w:szCs w:val="20"/>
        </w:rPr>
        <w:t>1</w:t>
      </w:r>
      <w:r w:rsidRPr="00EC703D">
        <w:rPr>
          <w:rFonts w:ascii="Century Gothic" w:hAnsi="Century Gothic"/>
          <w:b/>
          <w:bCs/>
          <w:color w:val="44546A"/>
          <w:sz w:val="20"/>
          <w:szCs w:val="20"/>
        </w:rPr>
        <w:fldChar w:fldCharType="end"/>
      </w:r>
      <w:r w:rsidRPr="00EC703D">
        <w:rPr>
          <w:rFonts w:ascii="Century Gothic" w:hAnsi="Century Gothic"/>
          <w:b/>
          <w:bCs/>
          <w:color w:val="44546A"/>
          <w:sz w:val="20"/>
          <w:szCs w:val="20"/>
        </w:rPr>
        <w:t>.</w:t>
      </w:r>
      <w:r w:rsidRPr="00EC703D">
        <w:rPr>
          <w:rFonts w:ascii="Century Gothic" w:hAnsi="Century Gothic"/>
          <w:b/>
          <w:bCs/>
          <w:color w:val="44546A"/>
          <w:sz w:val="20"/>
          <w:szCs w:val="20"/>
        </w:rPr>
        <w:fldChar w:fldCharType="begin"/>
      </w:r>
      <w:r w:rsidRPr="00EC703D">
        <w:rPr>
          <w:rFonts w:ascii="Century Gothic" w:hAnsi="Century Gothic"/>
          <w:b/>
          <w:bCs/>
          <w:color w:val="44546A"/>
          <w:sz w:val="20"/>
          <w:szCs w:val="20"/>
        </w:rPr>
        <w:instrText xml:space="preserve"> SEQ Table \* ARABIC \s 1 </w:instrText>
      </w:r>
      <w:r w:rsidRPr="00EC703D">
        <w:rPr>
          <w:rFonts w:ascii="Century Gothic" w:hAnsi="Century Gothic"/>
          <w:b/>
          <w:bCs/>
          <w:color w:val="44546A"/>
          <w:sz w:val="20"/>
          <w:szCs w:val="20"/>
        </w:rPr>
        <w:fldChar w:fldCharType="separate"/>
      </w:r>
      <w:r w:rsidR="001304E9">
        <w:rPr>
          <w:rFonts w:ascii="Century Gothic" w:hAnsi="Century Gothic"/>
          <w:b/>
          <w:bCs/>
          <w:noProof/>
          <w:color w:val="44546A"/>
          <w:sz w:val="20"/>
          <w:szCs w:val="20"/>
        </w:rPr>
        <w:t>3</w:t>
      </w:r>
      <w:r w:rsidRPr="00EC703D">
        <w:rPr>
          <w:rFonts w:ascii="Century Gothic" w:hAnsi="Century Gothic"/>
          <w:b/>
          <w:bCs/>
          <w:color w:val="44546A"/>
          <w:sz w:val="20"/>
          <w:szCs w:val="20"/>
        </w:rPr>
        <w:fldChar w:fldCharType="end"/>
      </w:r>
      <w:r w:rsidRPr="00EC703D">
        <w:rPr>
          <w:rFonts w:ascii="Century Gothic" w:hAnsi="Century Gothic"/>
          <w:b/>
          <w:bCs/>
          <w:color w:val="44546A"/>
          <w:sz w:val="20"/>
          <w:szCs w:val="20"/>
        </w:rPr>
        <w:t xml:space="preserve"> </w:t>
      </w:r>
      <w:r w:rsidR="001103A8">
        <w:rPr>
          <w:rFonts w:ascii="Century Gothic" w:hAnsi="Century Gothic"/>
          <w:b/>
          <w:bCs/>
          <w:color w:val="44546A"/>
          <w:sz w:val="20"/>
          <w:szCs w:val="20"/>
        </w:rPr>
        <w:t xml:space="preserve">Distribution of </w:t>
      </w:r>
      <w:proofErr w:type="spellStart"/>
      <w:r w:rsidR="008B1B8A">
        <w:rPr>
          <w:rFonts w:ascii="Century Gothic" w:hAnsi="Century Gothic"/>
          <w:b/>
          <w:bCs/>
          <w:color w:val="44546A"/>
          <w:sz w:val="20"/>
          <w:szCs w:val="20"/>
        </w:rPr>
        <w:t>Ngāi</w:t>
      </w:r>
      <w:proofErr w:type="spellEnd"/>
      <w:r w:rsidRPr="00DF212D">
        <w:rPr>
          <w:rFonts w:ascii="Century Gothic" w:hAnsi="Century Gothic"/>
          <w:b/>
          <w:bCs/>
          <w:color w:val="44546A"/>
          <w:sz w:val="20"/>
          <w:szCs w:val="20"/>
        </w:rPr>
        <w:t xml:space="preserve"> </w:t>
      </w:r>
      <w:proofErr w:type="spellStart"/>
      <w:r w:rsidRPr="00DF212D">
        <w:rPr>
          <w:rFonts w:ascii="Century Gothic" w:hAnsi="Century Gothic"/>
          <w:b/>
          <w:bCs/>
          <w:color w:val="44546A"/>
          <w:sz w:val="20"/>
          <w:szCs w:val="20"/>
        </w:rPr>
        <w:t>Tāmanuhiri</w:t>
      </w:r>
      <w:proofErr w:type="spellEnd"/>
      <w:r w:rsidR="001103A8">
        <w:rPr>
          <w:rFonts w:ascii="Century Gothic" w:hAnsi="Century Gothic"/>
          <w:b/>
          <w:bCs/>
          <w:color w:val="44546A"/>
          <w:sz w:val="20"/>
          <w:szCs w:val="20"/>
        </w:rPr>
        <w:t xml:space="preserve"> </w:t>
      </w:r>
      <w:proofErr w:type="spellStart"/>
      <w:proofErr w:type="gramStart"/>
      <w:r w:rsidR="00DE7843">
        <w:rPr>
          <w:rFonts w:ascii="Century Gothic" w:hAnsi="Century Gothic"/>
          <w:b/>
          <w:bCs/>
          <w:color w:val="44546A"/>
          <w:sz w:val="20"/>
          <w:szCs w:val="20"/>
        </w:rPr>
        <w:t>t</w:t>
      </w:r>
      <w:r w:rsidR="000B60A9">
        <w:rPr>
          <w:rFonts w:ascii="Century Gothic" w:hAnsi="Century Gothic"/>
          <w:b/>
          <w:bCs/>
          <w:color w:val="44546A"/>
          <w:sz w:val="20"/>
          <w:szCs w:val="20"/>
        </w:rPr>
        <w:t>e</w:t>
      </w:r>
      <w:proofErr w:type="spellEnd"/>
      <w:proofErr w:type="gramEnd"/>
      <w:r w:rsidR="000B60A9">
        <w:rPr>
          <w:rFonts w:ascii="Century Gothic" w:hAnsi="Century Gothic"/>
          <w:b/>
          <w:bCs/>
          <w:color w:val="44546A"/>
          <w:sz w:val="20"/>
          <w:szCs w:val="20"/>
        </w:rPr>
        <w:t xml:space="preserve"> reo Māori</w:t>
      </w:r>
      <w:r w:rsidR="001103A8">
        <w:rPr>
          <w:rFonts w:ascii="Century Gothic" w:hAnsi="Century Gothic"/>
          <w:b/>
          <w:bCs/>
          <w:color w:val="44546A"/>
          <w:sz w:val="20"/>
          <w:szCs w:val="20"/>
        </w:rPr>
        <w:t xml:space="preserve"> </w:t>
      </w:r>
      <w:r>
        <w:rPr>
          <w:rFonts w:ascii="Century Gothic" w:hAnsi="Century Gothic"/>
          <w:b/>
          <w:bCs/>
          <w:color w:val="44546A"/>
          <w:sz w:val="20"/>
          <w:szCs w:val="20"/>
        </w:rPr>
        <w:t>speakers across regions; Census 2013</w:t>
      </w:r>
      <w:bookmarkEnd w:id="27"/>
    </w:p>
    <w:p w14:paraId="3914DCED" w14:textId="199A9A17" w:rsidR="00FC2192" w:rsidRDefault="00784E7C" w:rsidP="006001B0">
      <w:pPr>
        <w:spacing w:after="0" w:line="276" w:lineRule="auto"/>
        <w:rPr>
          <w:rFonts w:ascii="Century Gothic" w:hAnsi="Century Gothic"/>
          <w:b/>
          <w:bCs/>
          <w:color w:val="44546A"/>
          <w:sz w:val="20"/>
          <w:szCs w:val="20"/>
        </w:rPr>
      </w:pPr>
      <w:r w:rsidRPr="00A36B89">
        <w:rPr>
          <w:noProof/>
        </w:rPr>
        <w:drawing>
          <wp:anchor distT="0" distB="0" distL="114300" distR="114300" simplePos="0" relativeHeight="252348416" behindDoc="1" locked="0" layoutInCell="1" allowOverlap="1" wp14:anchorId="40445FEA" wp14:editId="6D64F047">
            <wp:simplePos x="0" y="0"/>
            <wp:positionH relativeFrom="column">
              <wp:posOffset>19077</wp:posOffset>
            </wp:positionH>
            <wp:positionV relativeFrom="paragraph">
              <wp:posOffset>70926</wp:posOffset>
            </wp:positionV>
            <wp:extent cx="4578985" cy="2292985"/>
            <wp:effectExtent l="0" t="0" r="0" b="0"/>
            <wp:wrapTight wrapText="bothSides">
              <wp:wrapPolygon edited="0">
                <wp:start x="0" y="0"/>
                <wp:lineTo x="0" y="6101"/>
                <wp:lineTo x="1348" y="6101"/>
                <wp:lineTo x="0" y="7178"/>
                <wp:lineTo x="0" y="8075"/>
                <wp:lineTo x="15906" y="8973"/>
                <wp:lineTo x="0" y="9152"/>
                <wp:lineTo x="0" y="14177"/>
                <wp:lineTo x="539" y="15253"/>
                <wp:lineTo x="0" y="15253"/>
                <wp:lineTo x="0" y="19022"/>
                <wp:lineTo x="15906" y="20457"/>
                <wp:lineTo x="0" y="20996"/>
                <wp:lineTo x="0" y="21355"/>
                <wp:lineTo x="21477" y="21355"/>
                <wp:lineTo x="21477"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8985" cy="22929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F92FE3" w14:textId="5CA74F50" w:rsidR="00DF212D" w:rsidRDefault="00DF212D" w:rsidP="006001B0">
      <w:pPr>
        <w:spacing w:after="0" w:line="276" w:lineRule="auto"/>
        <w:rPr>
          <w:rFonts w:ascii="Century Gothic" w:hAnsi="Century Gothic"/>
          <w:b/>
          <w:bCs/>
          <w:color w:val="44546A"/>
          <w:sz w:val="20"/>
          <w:szCs w:val="20"/>
        </w:rPr>
      </w:pPr>
    </w:p>
    <w:p w14:paraId="78F64032" w14:textId="34BA265C" w:rsidR="00BE44AE" w:rsidRDefault="00BE44AE" w:rsidP="006001B0">
      <w:pPr>
        <w:spacing w:after="0" w:line="276" w:lineRule="auto"/>
        <w:rPr>
          <w:rFonts w:ascii="Century Gothic" w:hAnsi="Century Gothic"/>
          <w:b/>
          <w:bCs/>
          <w:color w:val="44546A"/>
          <w:sz w:val="20"/>
          <w:szCs w:val="20"/>
        </w:rPr>
      </w:pPr>
    </w:p>
    <w:p w14:paraId="645E5F6D" w14:textId="07FF6D17" w:rsidR="00BE44AE" w:rsidRDefault="00BE44AE" w:rsidP="006001B0">
      <w:pPr>
        <w:spacing w:after="0" w:line="276" w:lineRule="auto"/>
        <w:rPr>
          <w:rFonts w:ascii="Century Gothic" w:hAnsi="Century Gothic"/>
          <w:b/>
          <w:bCs/>
          <w:color w:val="44546A"/>
          <w:sz w:val="20"/>
          <w:szCs w:val="20"/>
        </w:rPr>
      </w:pPr>
    </w:p>
    <w:p w14:paraId="6D08AFEB" w14:textId="7CFAF2BF" w:rsidR="00BE44AE" w:rsidRDefault="00BE44AE" w:rsidP="006001B0">
      <w:pPr>
        <w:spacing w:after="0" w:line="276" w:lineRule="auto"/>
        <w:rPr>
          <w:rFonts w:ascii="Century Gothic" w:hAnsi="Century Gothic"/>
          <w:b/>
          <w:bCs/>
          <w:color w:val="44546A"/>
          <w:sz w:val="20"/>
          <w:szCs w:val="20"/>
        </w:rPr>
      </w:pPr>
    </w:p>
    <w:p w14:paraId="423F78A8" w14:textId="7072A9EB" w:rsidR="00BE44AE" w:rsidRDefault="00BE44AE" w:rsidP="006001B0">
      <w:pPr>
        <w:spacing w:after="0" w:line="276" w:lineRule="auto"/>
        <w:rPr>
          <w:rFonts w:ascii="Century Gothic" w:hAnsi="Century Gothic"/>
          <w:b/>
          <w:bCs/>
          <w:color w:val="44546A"/>
          <w:sz w:val="20"/>
          <w:szCs w:val="20"/>
        </w:rPr>
      </w:pPr>
    </w:p>
    <w:p w14:paraId="79ED8BF0" w14:textId="7A256AE3" w:rsidR="00BE44AE" w:rsidRDefault="00BE44AE" w:rsidP="006001B0">
      <w:pPr>
        <w:spacing w:after="0" w:line="276" w:lineRule="auto"/>
        <w:rPr>
          <w:rFonts w:ascii="Century Gothic" w:hAnsi="Century Gothic"/>
          <w:b/>
          <w:bCs/>
          <w:color w:val="44546A"/>
          <w:sz w:val="20"/>
          <w:szCs w:val="20"/>
        </w:rPr>
      </w:pPr>
    </w:p>
    <w:p w14:paraId="08828180" w14:textId="29821AD1" w:rsidR="00BE44AE" w:rsidRDefault="00BE44AE" w:rsidP="006001B0">
      <w:pPr>
        <w:spacing w:after="0" w:line="276" w:lineRule="auto"/>
        <w:rPr>
          <w:rFonts w:ascii="Century Gothic" w:hAnsi="Century Gothic"/>
          <w:b/>
          <w:bCs/>
          <w:color w:val="44546A"/>
          <w:sz w:val="20"/>
          <w:szCs w:val="20"/>
        </w:rPr>
      </w:pPr>
    </w:p>
    <w:p w14:paraId="7F4B8A34" w14:textId="4996BCD8" w:rsidR="00A36B89" w:rsidRDefault="00A36B89" w:rsidP="006001B0">
      <w:pPr>
        <w:spacing w:after="0" w:line="276" w:lineRule="auto"/>
        <w:rPr>
          <w:rFonts w:ascii="Century Gothic" w:hAnsi="Century Gothic"/>
          <w:b/>
          <w:bCs/>
          <w:color w:val="44546A"/>
          <w:sz w:val="20"/>
          <w:szCs w:val="20"/>
        </w:rPr>
      </w:pPr>
    </w:p>
    <w:p w14:paraId="36D79026" w14:textId="2B21F9CA" w:rsidR="00A36B89" w:rsidRDefault="00A36B89" w:rsidP="006001B0">
      <w:pPr>
        <w:spacing w:after="0" w:line="276" w:lineRule="auto"/>
        <w:rPr>
          <w:rFonts w:ascii="Century Gothic" w:hAnsi="Century Gothic"/>
          <w:b/>
          <w:bCs/>
          <w:color w:val="44546A"/>
          <w:sz w:val="20"/>
          <w:szCs w:val="20"/>
        </w:rPr>
      </w:pPr>
    </w:p>
    <w:p w14:paraId="517886F5" w14:textId="25220E82" w:rsidR="00A36B89" w:rsidRDefault="00A36B89" w:rsidP="006001B0">
      <w:pPr>
        <w:spacing w:after="0" w:line="276" w:lineRule="auto"/>
        <w:rPr>
          <w:rFonts w:ascii="Century Gothic" w:hAnsi="Century Gothic"/>
          <w:b/>
          <w:bCs/>
          <w:color w:val="44546A"/>
          <w:sz w:val="20"/>
          <w:szCs w:val="20"/>
        </w:rPr>
      </w:pPr>
    </w:p>
    <w:p w14:paraId="26935F61" w14:textId="40DF8159" w:rsidR="00A36B89" w:rsidRDefault="00A36B89" w:rsidP="006001B0">
      <w:pPr>
        <w:spacing w:after="0" w:line="276" w:lineRule="auto"/>
        <w:rPr>
          <w:rFonts w:ascii="Century Gothic" w:hAnsi="Century Gothic"/>
          <w:b/>
          <w:bCs/>
          <w:color w:val="44546A"/>
          <w:sz w:val="20"/>
          <w:szCs w:val="20"/>
        </w:rPr>
      </w:pPr>
    </w:p>
    <w:p w14:paraId="5971FB0A" w14:textId="4A4672AD" w:rsidR="00A36B89" w:rsidRDefault="00A36B89" w:rsidP="006001B0">
      <w:pPr>
        <w:spacing w:after="0" w:line="276" w:lineRule="auto"/>
        <w:rPr>
          <w:rFonts w:ascii="Century Gothic" w:hAnsi="Century Gothic"/>
          <w:b/>
          <w:bCs/>
          <w:color w:val="44546A"/>
          <w:sz w:val="20"/>
          <w:szCs w:val="20"/>
        </w:rPr>
      </w:pPr>
    </w:p>
    <w:p w14:paraId="0BAA2F57" w14:textId="59D19BC8" w:rsidR="00A36B89" w:rsidRDefault="00A36B89" w:rsidP="006001B0">
      <w:pPr>
        <w:spacing w:after="0" w:line="276" w:lineRule="auto"/>
        <w:rPr>
          <w:rFonts w:ascii="Century Gothic" w:hAnsi="Century Gothic"/>
          <w:b/>
          <w:bCs/>
          <w:color w:val="44546A"/>
          <w:sz w:val="20"/>
          <w:szCs w:val="20"/>
        </w:rPr>
      </w:pPr>
    </w:p>
    <w:p w14:paraId="766BDB0F" w14:textId="77777777" w:rsidR="00DE7843" w:rsidRDefault="00DE7843" w:rsidP="004E0A80">
      <w:pPr>
        <w:spacing w:after="0" w:line="360" w:lineRule="auto"/>
        <w:rPr>
          <w:rFonts w:ascii="Century Gothic" w:hAnsi="Century Gothic"/>
          <w:sz w:val="21"/>
          <w:szCs w:val="21"/>
        </w:rPr>
      </w:pPr>
    </w:p>
    <w:p w14:paraId="47BBC135" w14:textId="70009AF0" w:rsidR="0024365C" w:rsidRPr="00DE7843" w:rsidRDefault="008B1B8A" w:rsidP="00DE7843">
      <w:pPr>
        <w:spacing w:after="0" w:line="360" w:lineRule="auto"/>
        <w:rPr>
          <w:rFonts w:ascii="Century Gothic" w:hAnsi="Century Gothic"/>
          <w:sz w:val="21"/>
          <w:szCs w:val="21"/>
        </w:rPr>
      </w:pPr>
      <w:r w:rsidRPr="00DE7843">
        <w:rPr>
          <w:rFonts w:ascii="Century Gothic" w:hAnsi="Century Gothic"/>
          <w:sz w:val="21"/>
          <w:szCs w:val="21"/>
        </w:rPr>
        <w:t xml:space="preserve">An additional perspective is gained by looking at the share of </w:t>
      </w:r>
      <w:proofErr w:type="spellStart"/>
      <w:r w:rsidRPr="00DE7843">
        <w:rPr>
          <w:rFonts w:ascii="Century Gothic" w:hAnsi="Century Gothic"/>
          <w:sz w:val="21"/>
          <w:szCs w:val="21"/>
        </w:rPr>
        <w:t>Ngāi</w:t>
      </w:r>
      <w:proofErr w:type="spellEnd"/>
      <w:r w:rsidRPr="00DE7843">
        <w:rPr>
          <w:rFonts w:ascii="Century Gothic" w:hAnsi="Century Gothic"/>
          <w:sz w:val="21"/>
          <w:szCs w:val="21"/>
        </w:rPr>
        <w:t xml:space="preserve"> </w:t>
      </w:r>
      <w:proofErr w:type="spellStart"/>
      <w:r w:rsidRPr="00DE7843">
        <w:rPr>
          <w:rFonts w:ascii="Century Gothic" w:hAnsi="Century Gothic"/>
          <w:sz w:val="21"/>
          <w:szCs w:val="21"/>
        </w:rPr>
        <w:t>Tāmanuhiri</w:t>
      </w:r>
      <w:proofErr w:type="spellEnd"/>
      <w:r w:rsidRPr="00DE7843">
        <w:rPr>
          <w:rFonts w:ascii="Century Gothic" w:hAnsi="Century Gothic"/>
          <w:sz w:val="21"/>
          <w:szCs w:val="21"/>
        </w:rPr>
        <w:t xml:space="preserve"> </w:t>
      </w:r>
      <w:r w:rsidR="00DE7843">
        <w:rPr>
          <w:rFonts w:ascii="Century Gothic" w:hAnsi="Century Gothic"/>
          <w:sz w:val="21"/>
          <w:szCs w:val="21"/>
        </w:rPr>
        <w:t>who are</w:t>
      </w:r>
      <w:r w:rsidR="00741D1E" w:rsidRPr="00DE7843">
        <w:rPr>
          <w:rFonts w:ascii="Century Gothic" w:hAnsi="Century Gothic"/>
          <w:sz w:val="21"/>
          <w:szCs w:val="21"/>
        </w:rPr>
        <w:t xml:space="preserve"> able to speak </w:t>
      </w:r>
      <w:proofErr w:type="spellStart"/>
      <w:proofErr w:type="gramStart"/>
      <w:r w:rsidR="00DE7843">
        <w:rPr>
          <w:rFonts w:ascii="Century Gothic" w:hAnsi="Century Gothic"/>
          <w:sz w:val="21"/>
          <w:szCs w:val="21"/>
        </w:rPr>
        <w:t>t</w:t>
      </w:r>
      <w:r w:rsidR="000B60A9" w:rsidRPr="00DE7843">
        <w:rPr>
          <w:rFonts w:ascii="Century Gothic" w:hAnsi="Century Gothic"/>
          <w:sz w:val="21"/>
          <w:szCs w:val="21"/>
        </w:rPr>
        <w:t>e</w:t>
      </w:r>
      <w:proofErr w:type="spellEnd"/>
      <w:proofErr w:type="gramEnd"/>
      <w:r w:rsidR="000B60A9" w:rsidRPr="00DE7843">
        <w:rPr>
          <w:rFonts w:ascii="Century Gothic" w:hAnsi="Century Gothic"/>
          <w:sz w:val="21"/>
          <w:szCs w:val="21"/>
        </w:rPr>
        <w:t xml:space="preserve"> reo Māori</w:t>
      </w:r>
      <w:r w:rsidR="00741D1E" w:rsidRPr="00DE7843">
        <w:rPr>
          <w:rFonts w:ascii="Century Gothic" w:hAnsi="Century Gothic"/>
          <w:sz w:val="21"/>
          <w:szCs w:val="21"/>
        </w:rPr>
        <w:t xml:space="preserve"> </w:t>
      </w:r>
      <w:r w:rsidRPr="00DE7843">
        <w:rPr>
          <w:rFonts w:ascii="Century Gothic" w:hAnsi="Century Gothic"/>
          <w:sz w:val="21"/>
          <w:szCs w:val="21"/>
        </w:rPr>
        <w:t>within ea</w:t>
      </w:r>
      <w:r w:rsidR="004E0A80" w:rsidRPr="00DE7843">
        <w:rPr>
          <w:rFonts w:ascii="Century Gothic" w:hAnsi="Century Gothic"/>
          <w:sz w:val="21"/>
          <w:szCs w:val="21"/>
        </w:rPr>
        <w:t xml:space="preserve">ch Region. Table 1.8 shows that in 2013 </w:t>
      </w:r>
      <w:proofErr w:type="spellStart"/>
      <w:r w:rsidR="004E0A80" w:rsidRPr="00DE7843">
        <w:rPr>
          <w:rFonts w:ascii="Century Gothic" w:hAnsi="Century Gothic"/>
          <w:sz w:val="21"/>
          <w:szCs w:val="21"/>
        </w:rPr>
        <w:t>Ngāi</w:t>
      </w:r>
      <w:proofErr w:type="spellEnd"/>
      <w:r w:rsidR="004E0A80" w:rsidRPr="00DE7843">
        <w:rPr>
          <w:rFonts w:ascii="Century Gothic" w:hAnsi="Century Gothic"/>
          <w:sz w:val="21"/>
          <w:szCs w:val="21"/>
        </w:rPr>
        <w:t xml:space="preserve"> </w:t>
      </w:r>
      <w:proofErr w:type="spellStart"/>
      <w:r w:rsidR="004E0A80" w:rsidRPr="00DE7843">
        <w:rPr>
          <w:rFonts w:ascii="Century Gothic" w:hAnsi="Century Gothic"/>
          <w:sz w:val="21"/>
          <w:szCs w:val="21"/>
        </w:rPr>
        <w:t>Tāmanuhiri</w:t>
      </w:r>
      <w:proofErr w:type="spellEnd"/>
      <w:r w:rsidR="004E0A80" w:rsidRPr="00DE7843">
        <w:rPr>
          <w:rFonts w:ascii="Century Gothic" w:hAnsi="Century Gothic"/>
          <w:sz w:val="21"/>
          <w:szCs w:val="21"/>
        </w:rPr>
        <w:t xml:space="preserve"> </w:t>
      </w:r>
      <w:r w:rsidRPr="00DE7843">
        <w:rPr>
          <w:rFonts w:ascii="Century Gothic" w:hAnsi="Century Gothic"/>
          <w:sz w:val="21"/>
          <w:szCs w:val="21"/>
        </w:rPr>
        <w:t xml:space="preserve">living in </w:t>
      </w:r>
      <w:proofErr w:type="spellStart"/>
      <w:r w:rsidRPr="00DE7843">
        <w:rPr>
          <w:rFonts w:ascii="Century Gothic" w:hAnsi="Century Gothic"/>
          <w:sz w:val="21"/>
          <w:szCs w:val="21"/>
        </w:rPr>
        <w:t>Gisborne</w:t>
      </w:r>
      <w:proofErr w:type="spellEnd"/>
      <w:r w:rsidRPr="00DE7843">
        <w:rPr>
          <w:rFonts w:ascii="Century Gothic" w:hAnsi="Century Gothic"/>
          <w:sz w:val="21"/>
          <w:szCs w:val="21"/>
        </w:rPr>
        <w:t xml:space="preserve"> were the mo</w:t>
      </w:r>
      <w:r w:rsidR="004E0A80" w:rsidRPr="00DE7843">
        <w:rPr>
          <w:rFonts w:ascii="Century Gothic" w:hAnsi="Century Gothic"/>
          <w:sz w:val="21"/>
          <w:szCs w:val="21"/>
        </w:rPr>
        <w:t xml:space="preserve">st likely to be </w:t>
      </w:r>
      <w:proofErr w:type="spellStart"/>
      <w:proofErr w:type="gramStart"/>
      <w:r w:rsidR="00DE7843">
        <w:rPr>
          <w:rFonts w:ascii="Century Gothic" w:hAnsi="Century Gothic"/>
          <w:sz w:val="21"/>
          <w:szCs w:val="21"/>
        </w:rPr>
        <w:t>t</w:t>
      </w:r>
      <w:r w:rsidR="000B60A9" w:rsidRPr="00DE7843">
        <w:rPr>
          <w:rFonts w:ascii="Century Gothic" w:hAnsi="Century Gothic"/>
          <w:sz w:val="21"/>
          <w:szCs w:val="21"/>
        </w:rPr>
        <w:t>e</w:t>
      </w:r>
      <w:proofErr w:type="spellEnd"/>
      <w:proofErr w:type="gramEnd"/>
      <w:r w:rsidR="000B60A9" w:rsidRPr="00DE7843">
        <w:rPr>
          <w:rFonts w:ascii="Century Gothic" w:hAnsi="Century Gothic"/>
          <w:sz w:val="21"/>
          <w:szCs w:val="21"/>
        </w:rPr>
        <w:t xml:space="preserve"> reo Māori</w:t>
      </w:r>
      <w:r w:rsidR="004E0A80" w:rsidRPr="00DE7843">
        <w:rPr>
          <w:rFonts w:ascii="Century Gothic" w:hAnsi="Century Gothic"/>
          <w:sz w:val="21"/>
          <w:szCs w:val="21"/>
        </w:rPr>
        <w:t xml:space="preserve"> speakers</w:t>
      </w:r>
      <w:r w:rsidR="00233365" w:rsidRPr="00DE7843">
        <w:rPr>
          <w:rFonts w:ascii="Century Gothic" w:hAnsi="Century Gothic"/>
          <w:sz w:val="21"/>
          <w:szCs w:val="21"/>
        </w:rPr>
        <w:t xml:space="preserve"> </w:t>
      </w:r>
      <w:r w:rsidRPr="00DE7843">
        <w:rPr>
          <w:rFonts w:ascii="Century Gothic" w:hAnsi="Century Gothic"/>
          <w:sz w:val="21"/>
          <w:szCs w:val="21"/>
        </w:rPr>
        <w:t>(nearly 45 per cent</w:t>
      </w:r>
      <w:r w:rsidR="002810CD" w:rsidRPr="00DE7843">
        <w:rPr>
          <w:rFonts w:ascii="Century Gothic" w:hAnsi="Century Gothic"/>
          <w:sz w:val="21"/>
          <w:szCs w:val="21"/>
        </w:rPr>
        <w:t xml:space="preserve"> or 312 individuals</w:t>
      </w:r>
      <w:r w:rsidRPr="00DE7843">
        <w:rPr>
          <w:rFonts w:ascii="Century Gothic" w:hAnsi="Century Gothic"/>
          <w:sz w:val="21"/>
          <w:szCs w:val="21"/>
        </w:rPr>
        <w:t>), and those living in the South Island were the least likely (33 per cent). W</w:t>
      </w:r>
      <w:r w:rsidR="00233365" w:rsidRPr="00DE7843">
        <w:rPr>
          <w:rFonts w:ascii="Century Gothic" w:hAnsi="Century Gothic"/>
          <w:sz w:val="21"/>
          <w:szCs w:val="21"/>
        </w:rPr>
        <w:t>hile we have used</w:t>
      </w:r>
      <w:r w:rsidRPr="00DE7843">
        <w:rPr>
          <w:rFonts w:ascii="Century Gothic" w:hAnsi="Century Gothic"/>
          <w:sz w:val="21"/>
          <w:szCs w:val="21"/>
        </w:rPr>
        <w:t xml:space="preserve"> broad </w:t>
      </w:r>
      <w:r w:rsidR="00741D1E" w:rsidRPr="00DE7843">
        <w:rPr>
          <w:rFonts w:ascii="Century Gothic" w:hAnsi="Century Gothic"/>
          <w:sz w:val="21"/>
          <w:szCs w:val="21"/>
        </w:rPr>
        <w:t>geographic</w:t>
      </w:r>
      <w:r w:rsidR="00233365" w:rsidRPr="00DE7843">
        <w:rPr>
          <w:rFonts w:ascii="Century Gothic" w:hAnsi="Century Gothic"/>
          <w:sz w:val="21"/>
          <w:szCs w:val="21"/>
        </w:rPr>
        <w:t xml:space="preserve"> </w:t>
      </w:r>
      <w:r w:rsidR="004E0A80" w:rsidRPr="00DE7843">
        <w:rPr>
          <w:rFonts w:ascii="Century Gothic" w:hAnsi="Century Gothic"/>
          <w:sz w:val="21"/>
          <w:szCs w:val="21"/>
        </w:rPr>
        <w:t>areas</w:t>
      </w:r>
      <w:r w:rsidRPr="00DE7843">
        <w:rPr>
          <w:rFonts w:ascii="Century Gothic" w:hAnsi="Century Gothic"/>
          <w:sz w:val="21"/>
          <w:szCs w:val="21"/>
        </w:rPr>
        <w:t xml:space="preserve"> because of the small numbers</w:t>
      </w:r>
      <w:r w:rsidR="004E0A80" w:rsidRPr="00DE7843">
        <w:rPr>
          <w:rFonts w:ascii="Century Gothic" w:hAnsi="Century Gothic"/>
          <w:sz w:val="21"/>
          <w:szCs w:val="21"/>
        </w:rPr>
        <w:t xml:space="preserve"> involved</w:t>
      </w:r>
      <w:r w:rsidRPr="00DE7843">
        <w:rPr>
          <w:rFonts w:ascii="Century Gothic" w:hAnsi="Century Gothic"/>
          <w:sz w:val="21"/>
          <w:szCs w:val="21"/>
        </w:rPr>
        <w:t>, Figure 1.8 suggest</w:t>
      </w:r>
      <w:r w:rsidR="00910DE6" w:rsidRPr="00DE7843">
        <w:rPr>
          <w:rFonts w:ascii="Century Gothic" w:hAnsi="Century Gothic"/>
          <w:sz w:val="21"/>
          <w:szCs w:val="21"/>
        </w:rPr>
        <w:t>s</w:t>
      </w:r>
      <w:r w:rsidRPr="00DE7843">
        <w:rPr>
          <w:rFonts w:ascii="Century Gothic" w:hAnsi="Century Gothic"/>
          <w:sz w:val="21"/>
          <w:szCs w:val="21"/>
        </w:rPr>
        <w:t xml:space="preserve"> that the spatial variation in </w:t>
      </w:r>
      <w:proofErr w:type="spellStart"/>
      <w:proofErr w:type="gramStart"/>
      <w:r w:rsidR="00734050" w:rsidRPr="00DE7843">
        <w:rPr>
          <w:rFonts w:ascii="Century Gothic" w:hAnsi="Century Gothic"/>
          <w:sz w:val="21"/>
          <w:szCs w:val="21"/>
        </w:rPr>
        <w:t>t</w:t>
      </w:r>
      <w:r w:rsidR="000B60A9" w:rsidRPr="00DE7843">
        <w:rPr>
          <w:rFonts w:ascii="Century Gothic" w:hAnsi="Century Gothic"/>
          <w:sz w:val="21"/>
          <w:szCs w:val="21"/>
        </w:rPr>
        <w:t>e</w:t>
      </w:r>
      <w:proofErr w:type="spellEnd"/>
      <w:proofErr w:type="gramEnd"/>
      <w:r w:rsidR="000B60A9" w:rsidRPr="00DE7843">
        <w:rPr>
          <w:rFonts w:ascii="Century Gothic" w:hAnsi="Century Gothic"/>
          <w:sz w:val="21"/>
          <w:szCs w:val="21"/>
        </w:rPr>
        <w:t xml:space="preserve"> reo Māori</w:t>
      </w:r>
      <w:r w:rsidRPr="00DE7843">
        <w:rPr>
          <w:rFonts w:ascii="Century Gothic" w:hAnsi="Century Gothic"/>
          <w:sz w:val="21"/>
          <w:szCs w:val="21"/>
        </w:rPr>
        <w:t xml:space="preserve"> speaking rates is far greater within the overall Māori descent population, than among </w:t>
      </w:r>
      <w:proofErr w:type="spellStart"/>
      <w:r w:rsidRPr="00DE7843">
        <w:rPr>
          <w:rFonts w:ascii="Century Gothic" w:hAnsi="Century Gothic"/>
          <w:sz w:val="21"/>
          <w:szCs w:val="21"/>
        </w:rPr>
        <w:t>Ngāi</w:t>
      </w:r>
      <w:proofErr w:type="spellEnd"/>
      <w:r w:rsidRPr="00DE7843">
        <w:rPr>
          <w:rFonts w:ascii="Century Gothic" w:hAnsi="Century Gothic"/>
          <w:sz w:val="21"/>
          <w:szCs w:val="21"/>
        </w:rPr>
        <w:t xml:space="preserve"> </w:t>
      </w:r>
      <w:proofErr w:type="spellStart"/>
      <w:r w:rsidRPr="00DE7843">
        <w:rPr>
          <w:rFonts w:ascii="Century Gothic" w:hAnsi="Century Gothic"/>
          <w:sz w:val="21"/>
          <w:szCs w:val="21"/>
        </w:rPr>
        <w:t>Tāmanuhiri</w:t>
      </w:r>
      <w:proofErr w:type="spellEnd"/>
      <w:r w:rsidRPr="00DE7843">
        <w:rPr>
          <w:rFonts w:ascii="Century Gothic" w:hAnsi="Century Gothic"/>
          <w:sz w:val="21"/>
          <w:szCs w:val="21"/>
        </w:rPr>
        <w:t xml:space="preserve">. </w:t>
      </w:r>
      <w:r w:rsidR="00233365" w:rsidRPr="00DE7843">
        <w:rPr>
          <w:rFonts w:ascii="Century Gothic" w:hAnsi="Century Gothic"/>
          <w:sz w:val="21"/>
          <w:szCs w:val="21"/>
        </w:rPr>
        <w:t>Thus, only about 12 per cent of</w:t>
      </w:r>
      <w:r w:rsidR="000E7F08" w:rsidRPr="00DE7843">
        <w:rPr>
          <w:rFonts w:ascii="Century Gothic" w:hAnsi="Century Gothic"/>
          <w:sz w:val="21"/>
          <w:szCs w:val="21"/>
        </w:rPr>
        <w:t xml:space="preserve"> all </w:t>
      </w:r>
      <w:r w:rsidR="00233365" w:rsidRPr="00DE7843">
        <w:rPr>
          <w:rFonts w:ascii="Century Gothic" w:hAnsi="Century Gothic"/>
          <w:sz w:val="21"/>
          <w:szCs w:val="21"/>
        </w:rPr>
        <w:t xml:space="preserve">Māori </w:t>
      </w:r>
      <w:r w:rsidR="000E7F08" w:rsidRPr="00DE7843">
        <w:rPr>
          <w:rFonts w:ascii="Century Gothic" w:hAnsi="Century Gothic"/>
          <w:sz w:val="21"/>
          <w:szCs w:val="21"/>
        </w:rPr>
        <w:t xml:space="preserve">descendants </w:t>
      </w:r>
      <w:r w:rsidR="00233365" w:rsidRPr="00DE7843">
        <w:rPr>
          <w:rFonts w:ascii="Century Gothic" w:hAnsi="Century Gothic"/>
          <w:sz w:val="21"/>
          <w:szCs w:val="21"/>
        </w:rPr>
        <w:t xml:space="preserve">resident in the South Island could speak </w:t>
      </w:r>
      <w:proofErr w:type="spellStart"/>
      <w:proofErr w:type="gramStart"/>
      <w:r w:rsidR="00734050" w:rsidRPr="00DE7843">
        <w:rPr>
          <w:rFonts w:ascii="Century Gothic" w:hAnsi="Century Gothic"/>
          <w:sz w:val="21"/>
          <w:szCs w:val="21"/>
        </w:rPr>
        <w:t>te</w:t>
      </w:r>
      <w:proofErr w:type="spellEnd"/>
      <w:proofErr w:type="gramEnd"/>
      <w:r w:rsidR="00734050" w:rsidRPr="00DE7843">
        <w:rPr>
          <w:rFonts w:ascii="Century Gothic" w:hAnsi="Century Gothic"/>
          <w:sz w:val="21"/>
          <w:szCs w:val="21"/>
        </w:rPr>
        <w:t xml:space="preserve"> reo</w:t>
      </w:r>
      <w:r w:rsidR="000E7F08" w:rsidRPr="00DE7843">
        <w:rPr>
          <w:rFonts w:ascii="Century Gothic" w:hAnsi="Century Gothic"/>
          <w:sz w:val="21"/>
          <w:szCs w:val="21"/>
        </w:rPr>
        <w:t xml:space="preserve"> </w:t>
      </w:r>
      <w:r w:rsidR="00233365" w:rsidRPr="00DE7843">
        <w:rPr>
          <w:rFonts w:ascii="Century Gothic" w:hAnsi="Century Gothic"/>
          <w:sz w:val="21"/>
          <w:szCs w:val="21"/>
        </w:rPr>
        <w:t xml:space="preserve">compared to 29 per cent of Māori in </w:t>
      </w:r>
      <w:proofErr w:type="spellStart"/>
      <w:r w:rsidR="00233365" w:rsidRPr="00DE7843">
        <w:rPr>
          <w:rFonts w:ascii="Century Gothic" w:hAnsi="Century Gothic"/>
          <w:sz w:val="21"/>
          <w:szCs w:val="21"/>
        </w:rPr>
        <w:t>Gisborne</w:t>
      </w:r>
      <w:proofErr w:type="spellEnd"/>
      <w:r w:rsidR="00233365" w:rsidRPr="00DE7843">
        <w:rPr>
          <w:rFonts w:ascii="Century Gothic" w:hAnsi="Century Gothic"/>
          <w:sz w:val="21"/>
          <w:szCs w:val="21"/>
        </w:rPr>
        <w:t xml:space="preserve">. </w:t>
      </w:r>
    </w:p>
    <w:p w14:paraId="6E5D7629" w14:textId="77777777" w:rsidR="008B1B8A" w:rsidRPr="008B1B8A" w:rsidRDefault="008B1B8A" w:rsidP="0024365C">
      <w:pPr>
        <w:spacing w:after="0" w:line="276" w:lineRule="auto"/>
        <w:rPr>
          <w:rFonts w:ascii="Century Gothic" w:hAnsi="Century Gothic"/>
          <w:color w:val="44546A"/>
          <w:sz w:val="20"/>
          <w:szCs w:val="20"/>
        </w:rPr>
      </w:pPr>
    </w:p>
    <w:p w14:paraId="08EFEB65" w14:textId="53534E88" w:rsidR="0024365C" w:rsidRPr="00DF212D" w:rsidRDefault="00784E7C" w:rsidP="001103A8">
      <w:pPr>
        <w:spacing w:after="0" w:line="276" w:lineRule="auto"/>
        <w:rPr>
          <w:rFonts w:ascii="Century Gothic" w:eastAsiaTheme="majorEastAsia" w:hAnsi="Century Gothic" w:cstheme="majorBidi"/>
          <w:b/>
          <w:bCs/>
          <w:color w:val="4EAFC6"/>
          <w:sz w:val="21"/>
          <w:szCs w:val="21"/>
          <w:lang w:eastAsia="en-US"/>
        </w:rPr>
      </w:pPr>
      <w:bookmarkStart w:id="28" w:name="_Toc491783068"/>
      <w:r w:rsidRPr="00784E7C">
        <w:rPr>
          <w:noProof/>
        </w:rPr>
        <w:lastRenderedPageBreak/>
        <w:drawing>
          <wp:anchor distT="0" distB="0" distL="114300" distR="114300" simplePos="0" relativeHeight="252349440" behindDoc="1" locked="0" layoutInCell="1" allowOverlap="1" wp14:anchorId="46E1DBCF" wp14:editId="3117D079">
            <wp:simplePos x="0" y="0"/>
            <wp:positionH relativeFrom="column">
              <wp:posOffset>19077</wp:posOffset>
            </wp:positionH>
            <wp:positionV relativeFrom="paragraph">
              <wp:posOffset>471060</wp:posOffset>
            </wp:positionV>
            <wp:extent cx="6300000" cy="2653200"/>
            <wp:effectExtent l="0" t="0" r="5715" b="0"/>
            <wp:wrapTight wrapText="bothSides">
              <wp:wrapPolygon edited="0">
                <wp:start x="0" y="0"/>
                <wp:lineTo x="0" y="21404"/>
                <wp:lineTo x="21554" y="21404"/>
                <wp:lineTo x="21554"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00000" cy="265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365C" w:rsidRPr="00DF212D">
        <w:rPr>
          <w:rFonts w:ascii="Century Gothic" w:hAnsi="Century Gothic"/>
          <w:b/>
          <w:bCs/>
          <w:color w:val="44546A"/>
          <w:sz w:val="20"/>
          <w:szCs w:val="20"/>
        </w:rPr>
        <w:t xml:space="preserve">Figure </w:t>
      </w:r>
      <w:r w:rsidR="0024365C">
        <w:rPr>
          <w:rFonts w:ascii="Century Gothic" w:hAnsi="Century Gothic"/>
          <w:b/>
          <w:bCs/>
          <w:color w:val="44546A"/>
          <w:sz w:val="20"/>
          <w:szCs w:val="20"/>
        </w:rPr>
        <w:fldChar w:fldCharType="begin"/>
      </w:r>
      <w:r w:rsidR="0024365C" w:rsidRPr="00DF212D">
        <w:rPr>
          <w:rFonts w:ascii="Century Gothic" w:hAnsi="Century Gothic"/>
          <w:b/>
          <w:bCs/>
          <w:color w:val="44546A"/>
          <w:sz w:val="20"/>
          <w:szCs w:val="20"/>
        </w:rPr>
        <w:instrText xml:space="preserve"> STYLEREF 1 \s </w:instrText>
      </w:r>
      <w:r w:rsidR="0024365C">
        <w:rPr>
          <w:rFonts w:ascii="Century Gothic" w:hAnsi="Century Gothic"/>
          <w:b/>
          <w:bCs/>
          <w:color w:val="44546A"/>
          <w:sz w:val="20"/>
          <w:szCs w:val="20"/>
        </w:rPr>
        <w:fldChar w:fldCharType="separate"/>
      </w:r>
      <w:r w:rsidR="001470A9">
        <w:rPr>
          <w:rFonts w:ascii="Century Gothic" w:hAnsi="Century Gothic" w:hint="cs"/>
          <w:b/>
          <w:bCs/>
          <w:noProof/>
          <w:color w:val="44546A"/>
          <w:sz w:val="20"/>
          <w:szCs w:val="20"/>
          <w:cs/>
        </w:rPr>
        <w:t>‎</w:t>
      </w:r>
      <w:r w:rsidR="001470A9">
        <w:rPr>
          <w:rFonts w:ascii="Century Gothic" w:hAnsi="Century Gothic"/>
          <w:b/>
          <w:bCs/>
          <w:noProof/>
          <w:color w:val="44546A"/>
          <w:sz w:val="20"/>
          <w:szCs w:val="20"/>
        </w:rPr>
        <w:t>1</w:t>
      </w:r>
      <w:r w:rsidR="0024365C">
        <w:rPr>
          <w:rFonts w:ascii="Century Gothic" w:hAnsi="Century Gothic"/>
          <w:b/>
          <w:bCs/>
          <w:color w:val="44546A"/>
          <w:sz w:val="20"/>
          <w:szCs w:val="20"/>
        </w:rPr>
        <w:fldChar w:fldCharType="end"/>
      </w:r>
      <w:r w:rsidR="0024365C" w:rsidRPr="00DF212D">
        <w:rPr>
          <w:rFonts w:ascii="Century Gothic" w:hAnsi="Century Gothic"/>
          <w:b/>
          <w:bCs/>
          <w:color w:val="44546A"/>
          <w:sz w:val="20"/>
          <w:szCs w:val="20"/>
        </w:rPr>
        <w:t>.</w:t>
      </w:r>
      <w:r w:rsidR="0024365C">
        <w:rPr>
          <w:rFonts w:ascii="Century Gothic" w:hAnsi="Century Gothic"/>
          <w:b/>
          <w:bCs/>
          <w:color w:val="44546A"/>
          <w:sz w:val="20"/>
          <w:szCs w:val="20"/>
        </w:rPr>
        <w:fldChar w:fldCharType="begin"/>
      </w:r>
      <w:r w:rsidR="0024365C" w:rsidRPr="00DF212D">
        <w:rPr>
          <w:rFonts w:ascii="Century Gothic" w:hAnsi="Century Gothic"/>
          <w:b/>
          <w:bCs/>
          <w:color w:val="44546A"/>
          <w:sz w:val="20"/>
          <w:szCs w:val="20"/>
        </w:rPr>
        <w:instrText xml:space="preserve"> SEQ Figure \* ARABIC \s 1 </w:instrText>
      </w:r>
      <w:r w:rsidR="0024365C">
        <w:rPr>
          <w:rFonts w:ascii="Century Gothic" w:hAnsi="Century Gothic"/>
          <w:b/>
          <w:bCs/>
          <w:color w:val="44546A"/>
          <w:sz w:val="20"/>
          <w:szCs w:val="20"/>
        </w:rPr>
        <w:fldChar w:fldCharType="separate"/>
      </w:r>
      <w:r w:rsidR="001470A9">
        <w:rPr>
          <w:rFonts w:ascii="Century Gothic" w:hAnsi="Century Gothic"/>
          <w:b/>
          <w:bCs/>
          <w:noProof/>
          <w:color w:val="44546A"/>
          <w:sz w:val="20"/>
          <w:szCs w:val="20"/>
        </w:rPr>
        <w:t>9</w:t>
      </w:r>
      <w:r w:rsidR="0024365C">
        <w:rPr>
          <w:rFonts w:ascii="Century Gothic" w:hAnsi="Century Gothic"/>
          <w:b/>
          <w:bCs/>
          <w:color w:val="44546A"/>
          <w:sz w:val="20"/>
          <w:szCs w:val="20"/>
        </w:rPr>
        <w:fldChar w:fldCharType="end"/>
      </w:r>
      <w:r w:rsidR="0024365C" w:rsidRPr="00DF212D">
        <w:rPr>
          <w:rFonts w:ascii="Century Gothic" w:hAnsi="Century Gothic"/>
          <w:b/>
          <w:bCs/>
          <w:color w:val="44546A"/>
          <w:sz w:val="20"/>
          <w:szCs w:val="20"/>
        </w:rPr>
        <w:t xml:space="preserve"> </w:t>
      </w:r>
      <w:r w:rsidR="0024365C">
        <w:rPr>
          <w:rFonts w:ascii="Century Gothic" w:hAnsi="Century Gothic"/>
          <w:b/>
          <w:bCs/>
          <w:color w:val="44546A"/>
          <w:sz w:val="20"/>
          <w:szCs w:val="20"/>
        </w:rPr>
        <w:t xml:space="preserve">Percentage of </w:t>
      </w:r>
      <w:proofErr w:type="spellStart"/>
      <w:r w:rsidR="008B1B8A">
        <w:rPr>
          <w:rFonts w:ascii="Century Gothic" w:hAnsi="Century Gothic"/>
          <w:b/>
          <w:bCs/>
          <w:color w:val="44546A"/>
          <w:sz w:val="20"/>
          <w:szCs w:val="20"/>
        </w:rPr>
        <w:t>Ngā</w:t>
      </w:r>
      <w:r w:rsidR="0024365C" w:rsidRPr="00DF212D">
        <w:rPr>
          <w:rFonts w:ascii="Century Gothic" w:hAnsi="Century Gothic"/>
          <w:b/>
          <w:bCs/>
          <w:color w:val="44546A"/>
          <w:sz w:val="20"/>
          <w:szCs w:val="20"/>
        </w:rPr>
        <w:t>i</w:t>
      </w:r>
      <w:proofErr w:type="spellEnd"/>
      <w:r w:rsidR="0024365C" w:rsidRPr="00DF212D">
        <w:rPr>
          <w:rFonts w:ascii="Century Gothic" w:hAnsi="Century Gothic"/>
          <w:b/>
          <w:bCs/>
          <w:color w:val="44546A"/>
          <w:sz w:val="20"/>
          <w:szCs w:val="20"/>
        </w:rPr>
        <w:t xml:space="preserve"> </w:t>
      </w:r>
      <w:proofErr w:type="spellStart"/>
      <w:r w:rsidR="0024365C" w:rsidRPr="00DF212D">
        <w:rPr>
          <w:rFonts w:ascii="Century Gothic" w:hAnsi="Century Gothic"/>
          <w:b/>
          <w:bCs/>
          <w:color w:val="44546A"/>
          <w:sz w:val="20"/>
          <w:szCs w:val="20"/>
        </w:rPr>
        <w:t>Tāmanuhiri</w:t>
      </w:r>
      <w:proofErr w:type="spellEnd"/>
      <w:r w:rsidR="001103A8">
        <w:rPr>
          <w:rFonts w:ascii="Century Gothic" w:hAnsi="Century Gothic"/>
          <w:b/>
          <w:bCs/>
          <w:color w:val="44546A"/>
          <w:sz w:val="20"/>
          <w:szCs w:val="20"/>
        </w:rPr>
        <w:t xml:space="preserve"> </w:t>
      </w:r>
      <w:r w:rsidR="0024365C">
        <w:rPr>
          <w:rFonts w:ascii="Century Gothic" w:hAnsi="Century Gothic"/>
          <w:b/>
          <w:bCs/>
          <w:color w:val="44546A"/>
          <w:sz w:val="20"/>
          <w:szCs w:val="20"/>
        </w:rPr>
        <w:t xml:space="preserve">and the </w:t>
      </w:r>
      <w:r w:rsidR="00744830">
        <w:rPr>
          <w:rFonts w:ascii="Century Gothic" w:hAnsi="Century Gothic"/>
          <w:b/>
          <w:bCs/>
          <w:color w:val="44546A"/>
          <w:sz w:val="20"/>
          <w:szCs w:val="20"/>
        </w:rPr>
        <w:t xml:space="preserve">Māori </w:t>
      </w:r>
      <w:r w:rsidR="0024365C">
        <w:rPr>
          <w:rFonts w:ascii="Century Gothic" w:hAnsi="Century Gothic"/>
          <w:b/>
          <w:bCs/>
          <w:color w:val="44546A"/>
          <w:sz w:val="20"/>
          <w:szCs w:val="20"/>
        </w:rPr>
        <w:t xml:space="preserve">descent population speaking </w:t>
      </w:r>
      <w:proofErr w:type="spellStart"/>
      <w:proofErr w:type="gramStart"/>
      <w:r w:rsidR="00DE7843">
        <w:rPr>
          <w:rFonts w:ascii="Century Gothic" w:hAnsi="Century Gothic"/>
          <w:b/>
          <w:bCs/>
          <w:color w:val="44546A"/>
          <w:sz w:val="20"/>
          <w:szCs w:val="20"/>
        </w:rPr>
        <w:t>t</w:t>
      </w:r>
      <w:r w:rsidR="000B60A9">
        <w:rPr>
          <w:rFonts w:ascii="Century Gothic" w:hAnsi="Century Gothic"/>
          <w:b/>
          <w:bCs/>
          <w:color w:val="44546A"/>
          <w:sz w:val="20"/>
          <w:szCs w:val="20"/>
        </w:rPr>
        <w:t>e</w:t>
      </w:r>
      <w:proofErr w:type="spellEnd"/>
      <w:proofErr w:type="gramEnd"/>
      <w:r w:rsidR="000B60A9">
        <w:rPr>
          <w:rFonts w:ascii="Century Gothic" w:hAnsi="Century Gothic"/>
          <w:b/>
          <w:bCs/>
          <w:color w:val="44546A"/>
          <w:sz w:val="20"/>
          <w:szCs w:val="20"/>
        </w:rPr>
        <w:t xml:space="preserve"> reo Māori</w:t>
      </w:r>
      <w:r w:rsidR="0024365C">
        <w:rPr>
          <w:rFonts w:ascii="Century Gothic" w:hAnsi="Century Gothic"/>
          <w:b/>
          <w:bCs/>
          <w:color w:val="44546A"/>
          <w:sz w:val="20"/>
          <w:szCs w:val="20"/>
        </w:rPr>
        <w:t xml:space="preserve"> disaggregated by region; 2013 Census</w:t>
      </w:r>
      <w:bookmarkEnd w:id="28"/>
    </w:p>
    <w:p w14:paraId="6D154D10" w14:textId="2F012052" w:rsidR="0024365C" w:rsidRDefault="0024365C" w:rsidP="0024365C">
      <w:pPr>
        <w:spacing w:after="0" w:line="276" w:lineRule="auto"/>
        <w:rPr>
          <w:rFonts w:ascii="Century Gothic" w:hAnsi="Century Gothic"/>
          <w:b/>
          <w:bCs/>
          <w:color w:val="44546A"/>
          <w:sz w:val="20"/>
          <w:szCs w:val="20"/>
        </w:rPr>
      </w:pPr>
    </w:p>
    <w:p w14:paraId="73772529" w14:textId="64AA8812" w:rsidR="004D7F3D" w:rsidRDefault="004D7F3D">
      <w:pPr>
        <w:rPr>
          <w:rFonts w:ascii="Century Gothic" w:hAnsi="Century Gothic"/>
          <w:b/>
          <w:bCs/>
          <w:color w:val="44546A"/>
          <w:sz w:val="20"/>
          <w:szCs w:val="20"/>
        </w:rPr>
      </w:pPr>
      <w:r>
        <w:rPr>
          <w:rFonts w:ascii="Century Gothic" w:hAnsi="Century Gothic"/>
          <w:b/>
          <w:bCs/>
          <w:color w:val="44546A"/>
          <w:sz w:val="20"/>
          <w:szCs w:val="20"/>
        </w:rPr>
        <w:br w:type="page"/>
      </w:r>
    </w:p>
    <w:p w14:paraId="0DA665BA" w14:textId="4F45895C" w:rsidR="0058608C" w:rsidRPr="00871BA9" w:rsidRDefault="0058608C" w:rsidP="0065189F">
      <w:pPr>
        <w:pStyle w:val="Heading1"/>
        <w:numPr>
          <w:ilvl w:val="0"/>
          <w:numId w:val="2"/>
        </w:numPr>
        <w:shd w:val="clear" w:color="auto" w:fill="3DA5BD"/>
        <w:spacing w:after="120"/>
        <w:ind w:left="360"/>
        <w:rPr>
          <w:rFonts w:ascii="Century Gothic" w:hAnsi="Century Gothic"/>
          <w:b/>
          <w:bCs/>
          <w:color w:val="FFFFFF" w:themeColor="background1"/>
        </w:rPr>
      </w:pPr>
      <w:bookmarkStart w:id="29" w:name="_Toc491783048"/>
      <w:r>
        <w:rPr>
          <w:rFonts w:ascii="Century Gothic" w:hAnsi="Century Gothic"/>
          <w:b/>
          <w:bCs/>
          <w:color w:val="FFFFFF" w:themeColor="background1"/>
        </w:rPr>
        <w:lastRenderedPageBreak/>
        <w:t>Usual residence 5 years ago</w:t>
      </w:r>
      <w:bookmarkEnd w:id="29"/>
    </w:p>
    <w:p w14:paraId="75BFFE7E" w14:textId="77777777" w:rsidR="00A328CD" w:rsidRDefault="00A328CD" w:rsidP="0065189F">
      <w:pPr>
        <w:spacing w:after="0" w:line="360" w:lineRule="auto"/>
        <w:rPr>
          <w:rFonts w:ascii="Century Gothic" w:hAnsi="Century Gothic"/>
          <w:b/>
          <w:bCs/>
          <w:color w:val="44546A"/>
          <w:sz w:val="20"/>
          <w:szCs w:val="20"/>
        </w:rPr>
      </w:pPr>
    </w:p>
    <w:p w14:paraId="1DF2AE09" w14:textId="61BFDFED" w:rsidR="00233365" w:rsidRPr="00DE7843" w:rsidRDefault="00233365" w:rsidP="0065189F">
      <w:pPr>
        <w:spacing w:after="0" w:line="360" w:lineRule="auto"/>
        <w:rPr>
          <w:rFonts w:ascii="Century Gothic" w:hAnsi="Century Gothic"/>
          <w:sz w:val="21"/>
          <w:szCs w:val="21"/>
        </w:rPr>
      </w:pPr>
      <w:r w:rsidRPr="00DE7843">
        <w:rPr>
          <w:rFonts w:ascii="Century Gothic" w:hAnsi="Century Gothic"/>
          <w:sz w:val="21"/>
          <w:szCs w:val="21"/>
        </w:rPr>
        <w:t xml:space="preserve">Māori tend to </w:t>
      </w:r>
      <w:r w:rsidR="00E73D12" w:rsidRPr="00DE7843">
        <w:rPr>
          <w:rFonts w:ascii="Century Gothic" w:hAnsi="Century Gothic"/>
          <w:sz w:val="21"/>
          <w:szCs w:val="21"/>
        </w:rPr>
        <w:t>move more frequen</w:t>
      </w:r>
      <w:r w:rsidR="006D0699" w:rsidRPr="00DE7843">
        <w:rPr>
          <w:rFonts w:ascii="Century Gothic" w:hAnsi="Century Gothic"/>
          <w:sz w:val="21"/>
          <w:szCs w:val="21"/>
        </w:rPr>
        <w:t xml:space="preserve">tly than other peoples in </w:t>
      </w:r>
      <w:proofErr w:type="spellStart"/>
      <w:r w:rsidR="006D0699" w:rsidRPr="00DE7843">
        <w:rPr>
          <w:rFonts w:ascii="Century Gothic" w:hAnsi="Century Gothic"/>
          <w:sz w:val="21"/>
          <w:szCs w:val="21"/>
        </w:rPr>
        <w:t>Aotearoa</w:t>
      </w:r>
      <w:proofErr w:type="spellEnd"/>
      <w:r w:rsidR="006D0699" w:rsidRPr="00DE7843">
        <w:rPr>
          <w:rFonts w:ascii="Century Gothic" w:hAnsi="Century Gothic"/>
          <w:sz w:val="21"/>
          <w:szCs w:val="21"/>
        </w:rPr>
        <w:t xml:space="preserve"> NZ</w:t>
      </w:r>
      <w:r w:rsidR="00741D1E" w:rsidRPr="00DE7843">
        <w:rPr>
          <w:rFonts w:ascii="Century Gothic" w:hAnsi="Century Gothic"/>
          <w:sz w:val="21"/>
          <w:szCs w:val="21"/>
        </w:rPr>
        <w:t xml:space="preserve"> for a range of reasons including having a much younger overall age structure (as younger people are more mobile)</w:t>
      </w:r>
      <w:r w:rsidRPr="00DE7843">
        <w:rPr>
          <w:rFonts w:ascii="Century Gothic" w:hAnsi="Century Gothic"/>
          <w:sz w:val="21"/>
          <w:szCs w:val="21"/>
        </w:rPr>
        <w:t xml:space="preserve">. Figure 2.1 shows the share of </w:t>
      </w:r>
      <w:proofErr w:type="spellStart"/>
      <w:r w:rsidRPr="00DE7843">
        <w:rPr>
          <w:rFonts w:ascii="Century Gothic" w:hAnsi="Century Gothic"/>
          <w:sz w:val="21"/>
          <w:szCs w:val="21"/>
        </w:rPr>
        <w:t>Ngāi</w:t>
      </w:r>
      <w:proofErr w:type="spellEnd"/>
      <w:r w:rsidRPr="00DE7843">
        <w:rPr>
          <w:rFonts w:ascii="Century Gothic" w:hAnsi="Century Gothic"/>
          <w:sz w:val="21"/>
          <w:szCs w:val="21"/>
        </w:rPr>
        <w:t xml:space="preserve"> </w:t>
      </w:r>
      <w:proofErr w:type="spellStart"/>
      <w:r w:rsidRPr="00DE7843">
        <w:rPr>
          <w:rFonts w:ascii="Century Gothic" w:hAnsi="Century Gothic"/>
          <w:sz w:val="21"/>
          <w:szCs w:val="21"/>
        </w:rPr>
        <w:t>Tāmanuhiri</w:t>
      </w:r>
      <w:proofErr w:type="spellEnd"/>
      <w:r w:rsidRPr="00DE7843">
        <w:rPr>
          <w:rFonts w:ascii="Century Gothic" w:hAnsi="Century Gothic"/>
          <w:sz w:val="21"/>
          <w:szCs w:val="21"/>
        </w:rPr>
        <w:t xml:space="preserve"> that moved between recent censuses. </w:t>
      </w:r>
      <w:r w:rsidR="00E73D12" w:rsidRPr="00DE7843">
        <w:rPr>
          <w:rFonts w:ascii="Century Gothic" w:hAnsi="Century Gothic"/>
          <w:sz w:val="21"/>
          <w:szCs w:val="21"/>
        </w:rPr>
        <w:t xml:space="preserve">In 2006, half of </w:t>
      </w:r>
      <w:proofErr w:type="spellStart"/>
      <w:r w:rsidR="00E73D12" w:rsidRPr="00DE7843">
        <w:rPr>
          <w:rFonts w:ascii="Century Gothic" w:hAnsi="Century Gothic"/>
          <w:sz w:val="21"/>
          <w:szCs w:val="21"/>
        </w:rPr>
        <w:t>Ngāi</w:t>
      </w:r>
      <w:proofErr w:type="spellEnd"/>
      <w:r w:rsidR="00E73D12" w:rsidRPr="00DE7843">
        <w:rPr>
          <w:rFonts w:ascii="Century Gothic" w:hAnsi="Century Gothic"/>
          <w:sz w:val="21"/>
          <w:szCs w:val="21"/>
        </w:rPr>
        <w:t xml:space="preserve"> </w:t>
      </w:r>
      <w:proofErr w:type="spellStart"/>
      <w:r w:rsidR="00E73D12" w:rsidRPr="00DE7843">
        <w:rPr>
          <w:rFonts w:ascii="Century Gothic" w:hAnsi="Century Gothic"/>
          <w:sz w:val="21"/>
          <w:szCs w:val="21"/>
        </w:rPr>
        <w:t>Tāmanuhiri</w:t>
      </w:r>
      <w:proofErr w:type="spellEnd"/>
      <w:r w:rsidR="00E73D12" w:rsidRPr="00DE7843">
        <w:rPr>
          <w:rFonts w:ascii="Century Gothic" w:hAnsi="Century Gothic"/>
          <w:sz w:val="21"/>
          <w:szCs w:val="21"/>
        </w:rPr>
        <w:t xml:space="preserve"> were residing at a different New Zealand address </w:t>
      </w:r>
      <w:r w:rsidR="006D0699" w:rsidRPr="00DE7843">
        <w:rPr>
          <w:rFonts w:ascii="Century Gothic" w:hAnsi="Century Gothic"/>
          <w:sz w:val="21"/>
          <w:szCs w:val="21"/>
        </w:rPr>
        <w:t>than at t</w:t>
      </w:r>
      <w:r w:rsidR="00E73D12" w:rsidRPr="00DE7843">
        <w:rPr>
          <w:rFonts w:ascii="Century Gothic" w:hAnsi="Century Gothic"/>
          <w:sz w:val="21"/>
          <w:szCs w:val="21"/>
        </w:rPr>
        <w:t xml:space="preserve">he 2001 census. </w:t>
      </w:r>
      <w:r w:rsidR="006D0699" w:rsidRPr="00DE7843">
        <w:rPr>
          <w:rFonts w:ascii="Century Gothic" w:hAnsi="Century Gothic"/>
          <w:sz w:val="21"/>
          <w:szCs w:val="21"/>
        </w:rPr>
        <w:t>Given that about one in six Māor</w:t>
      </w:r>
      <w:r w:rsidR="00112C29">
        <w:rPr>
          <w:rFonts w:ascii="Century Gothic" w:hAnsi="Century Gothic"/>
          <w:sz w:val="21"/>
          <w:szCs w:val="21"/>
        </w:rPr>
        <w:t>i live in Australia (Hamer, 2008</w:t>
      </w:r>
      <w:r w:rsidR="006D0699" w:rsidRPr="00DE7843">
        <w:rPr>
          <w:rFonts w:ascii="Century Gothic" w:hAnsi="Century Gothic"/>
          <w:sz w:val="21"/>
          <w:szCs w:val="21"/>
        </w:rPr>
        <w:t xml:space="preserve">), it is likely that a sizeable share of </w:t>
      </w:r>
      <w:proofErr w:type="spellStart"/>
      <w:r w:rsidR="006D0699" w:rsidRPr="00DE7843">
        <w:rPr>
          <w:rFonts w:ascii="Century Gothic" w:hAnsi="Century Gothic"/>
          <w:sz w:val="21"/>
          <w:szCs w:val="21"/>
        </w:rPr>
        <w:t>Ngāi</w:t>
      </w:r>
      <w:proofErr w:type="spellEnd"/>
      <w:r w:rsidR="006D0699" w:rsidRPr="00DE7843">
        <w:rPr>
          <w:rFonts w:ascii="Century Gothic" w:hAnsi="Century Gothic"/>
          <w:sz w:val="21"/>
          <w:szCs w:val="21"/>
        </w:rPr>
        <w:t xml:space="preserve"> </w:t>
      </w:r>
      <w:proofErr w:type="spellStart"/>
      <w:r w:rsidR="006D0699" w:rsidRPr="00DE7843">
        <w:rPr>
          <w:rFonts w:ascii="Century Gothic" w:hAnsi="Century Gothic"/>
          <w:sz w:val="21"/>
          <w:szCs w:val="21"/>
        </w:rPr>
        <w:t>Tāmanuhiri</w:t>
      </w:r>
      <w:proofErr w:type="spellEnd"/>
      <w:r w:rsidR="006D0699" w:rsidRPr="00DE7843">
        <w:rPr>
          <w:rFonts w:ascii="Century Gothic" w:hAnsi="Century Gothic"/>
          <w:sz w:val="21"/>
          <w:szCs w:val="21"/>
        </w:rPr>
        <w:t xml:space="preserve"> live in Australia as well, but this cannot be ascertained from the New Zealand census</w:t>
      </w:r>
      <w:r w:rsidR="00432EF9">
        <w:rPr>
          <w:rStyle w:val="FootnoteReference"/>
          <w:rFonts w:ascii="Century Gothic" w:hAnsi="Century Gothic"/>
          <w:sz w:val="21"/>
          <w:szCs w:val="21"/>
        </w:rPr>
        <w:footnoteReference w:id="9"/>
      </w:r>
      <w:r w:rsidR="006D0699" w:rsidRPr="00DE7843">
        <w:rPr>
          <w:rFonts w:ascii="Century Gothic" w:hAnsi="Century Gothic"/>
          <w:sz w:val="21"/>
          <w:szCs w:val="21"/>
        </w:rPr>
        <w:t xml:space="preserve">. What we do know is that only a very small share (2.6 per cent) of </w:t>
      </w:r>
      <w:proofErr w:type="spellStart"/>
      <w:r w:rsidR="006D0699" w:rsidRPr="00DE7843">
        <w:rPr>
          <w:rFonts w:ascii="Century Gothic" w:hAnsi="Century Gothic"/>
          <w:sz w:val="21"/>
          <w:szCs w:val="21"/>
        </w:rPr>
        <w:t>Ngāi</w:t>
      </w:r>
      <w:proofErr w:type="spellEnd"/>
      <w:r w:rsidR="006D0699" w:rsidRPr="00DE7843">
        <w:rPr>
          <w:rFonts w:ascii="Century Gothic" w:hAnsi="Century Gothic"/>
          <w:sz w:val="21"/>
          <w:szCs w:val="21"/>
        </w:rPr>
        <w:t xml:space="preserve"> </w:t>
      </w:r>
      <w:proofErr w:type="spellStart"/>
      <w:r w:rsidR="006D0699" w:rsidRPr="00DE7843">
        <w:rPr>
          <w:rFonts w:ascii="Century Gothic" w:hAnsi="Century Gothic"/>
          <w:sz w:val="21"/>
          <w:szCs w:val="21"/>
        </w:rPr>
        <w:t>Tāmanuhiri</w:t>
      </w:r>
      <w:proofErr w:type="spellEnd"/>
      <w:r w:rsidR="006D0699" w:rsidRPr="00DE7843">
        <w:rPr>
          <w:rFonts w:ascii="Century Gothic" w:hAnsi="Century Gothic"/>
          <w:sz w:val="21"/>
          <w:szCs w:val="21"/>
        </w:rPr>
        <w:t xml:space="preserve"> in 2006 had lived overseas in 2001. In the most recent 2013 census, the share of movers </w:t>
      </w:r>
      <w:r w:rsidR="00741D1E" w:rsidRPr="00DE7843">
        <w:rPr>
          <w:rFonts w:ascii="Century Gothic" w:hAnsi="Century Gothic"/>
          <w:sz w:val="21"/>
          <w:szCs w:val="21"/>
        </w:rPr>
        <w:t xml:space="preserve">within </w:t>
      </w:r>
      <w:proofErr w:type="spellStart"/>
      <w:r w:rsidR="00741D1E" w:rsidRPr="00DE7843">
        <w:rPr>
          <w:rFonts w:ascii="Century Gothic" w:hAnsi="Century Gothic"/>
          <w:sz w:val="21"/>
          <w:szCs w:val="21"/>
        </w:rPr>
        <w:t>Ngāi</w:t>
      </w:r>
      <w:proofErr w:type="spellEnd"/>
      <w:r w:rsidR="00741D1E" w:rsidRPr="00DE7843">
        <w:rPr>
          <w:rFonts w:ascii="Century Gothic" w:hAnsi="Century Gothic"/>
          <w:sz w:val="21"/>
          <w:szCs w:val="21"/>
        </w:rPr>
        <w:t xml:space="preserve"> </w:t>
      </w:r>
      <w:proofErr w:type="spellStart"/>
      <w:r w:rsidR="00741D1E" w:rsidRPr="00DE7843">
        <w:rPr>
          <w:rFonts w:ascii="Century Gothic" w:hAnsi="Century Gothic"/>
          <w:sz w:val="21"/>
          <w:szCs w:val="21"/>
        </w:rPr>
        <w:t>Tāmanuhiri</w:t>
      </w:r>
      <w:proofErr w:type="spellEnd"/>
      <w:r w:rsidR="00741D1E" w:rsidRPr="00DE7843">
        <w:rPr>
          <w:rFonts w:ascii="Century Gothic" w:hAnsi="Century Gothic"/>
          <w:sz w:val="21"/>
          <w:szCs w:val="21"/>
        </w:rPr>
        <w:t xml:space="preserve"> </w:t>
      </w:r>
      <w:r w:rsidR="006D0699" w:rsidRPr="00DE7843">
        <w:rPr>
          <w:rFonts w:ascii="Century Gothic" w:hAnsi="Century Gothic"/>
          <w:sz w:val="21"/>
          <w:szCs w:val="21"/>
        </w:rPr>
        <w:t xml:space="preserve">was much lower, with 43 per cent having </w:t>
      </w:r>
      <w:r w:rsidR="00E73D12" w:rsidRPr="00DE7843">
        <w:rPr>
          <w:rFonts w:ascii="Century Gothic" w:hAnsi="Century Gothic"/>
          <w:sz w:val="21"/>
          <w:szCs w:val="21"/>
        </w:rPr>
        <w:t>moved address within the last five years. This was slightly below the share of ‘movers’ among Māori generally (46.7 per cent, see Figure 2.2)</w:t>
      </w:r>
    </w:p>
    <w:p w14:paraId="586C79DD" w14:textId="2A80A34F" w:rsidR="002B2A85" w:rsidRDefault="002B2A85" w:rsidP="006001B0">
      <w:pPr>
        <w:spacing w:after="0" w:line="276" w:lineRule="auto"/>
        <w:rPr>
          <w:rFonts w:ascii="Century Gothic" w:hAnsi="Century Gothic"/>
          <w:b/>
          <w:bCs/>
          <w:color w:val="44546A"/>
          <w:sz w:val="20"/>
          <w:szCs w:val="20"/>
        </w:rPr>
      </w:pPr>
    </w:p>
    <w:p w14:paraId="1F64DCA4" w14:textId="27C00183" w:rsidR="00F30647" w:rsidRPr="00DF212D" w:rsidRDefault="00F30647" w:rsidP="001103A8">
      <w:pPr>
        <w:spacing w:after="0" w:line="276" w:lineRule="auto"/>
        <w:rPr>
          <w:rFonts w:ascii="Century Gothic" w:eastAsiaTheme="majorEastAsia" w:hAnsi="Century Gothic" w:cstheme="majorBidi"/>
          <w:b/>
          <w:bCs/>
          <w:color w:val="4EAFC6"/>
          <w:sz w:val="21"/>
          <w:szCs w:val="21"/>
          <w:lang w:eastAsia="en-US"/>
        </w:rPr>
      </w:pPr>
      <w:bookmarkStart w:id="30" w:name="_Toc491783069"/>
      <w:r w:rsidRPr="00DF212D">
        <w:rPr>
          <w:rFonts w:ascii="Century Gothic" w:hAnsi="Century Gothic"/>
          <w:b/>
          <w:bCs/>
          <w:color w:val="44546A"/>
          <w:sz w:val="20"/>
          <w:szCs w:val="20"/>
        </w:rPr>
        <w:t xml:space="preserve">Figure </w:t>
      </w:r>
      <w:r>
        <w:rPr>
          <w:rFonts w:ascii="Century Gothic" w:hAnsi="Century Gothic"/>
          <w:b/>
          <w:bCs/>
          <w:color w:val="44546A"/>
          <w:sz w:val="20"/>
          <w:szCs w:val="20"/>
        </w:rPr>
        <w:fldChar w:fldCharType="begin"/>
      </w:r>
      <w:r w:rsidRPr="00DF212D">
        <w:rPr>
          <w:rFonts w:ascii="Century Gothic" w:hAnsi="Century Gothic"/>
          <w:b/>
          <w:bCs/>
          <w:color w:val="44546A"/>
          <w:sz w:val="20"/>
          <w:szCs w:val="20"/>
        </w:rPr>
        <w:instrText xml:space="preserve"> STYLEREF 1 \s </w:instrText>
      </w:r>
      <w:r>
        <w:rPr>
          <w:rFonts w:ascii="Century Gothic" w:hAnsi="Century Gothic"/>
          <w:b/>
          <w:bCs/>
          <w:color w:val="44546A"/>
          <w:sz w:val="20"/>
          <w:szCs w:val="20"/>
        </w:rPr>
        <w:fldChar w:fldCharType="separate"/>
      </w:r>
      <w:r w:rsidR="001470A9">
        <w:rPr>
          <w:rFonts w:ascii="Century Gothic" w:hAnsi="Century Gothic" w:hint="cs"/>
          <w:b/>
          <w:bCs/>
          <w:noProof/>
          <w:color w:val="44546A"/>
          <w:sz w:val="20"/>
          <w:szCs w:val="20"/>
          <w:cs/>
        </w:rPr>
        <w:t>‎</w:t>
      </w:r>
      <w:r w:rsidR="001470A9">
        <w:rPr>
          <w:rFonts w:ascii="Century Gothic" w:hAnsi="Century Gothic"/>
          <w:b/>
          <w:bCs/>
          <w:noProof/>
          <w:color w:val="44546A"/>
          <w:sz w:val="20"/>
          <w:szCs w:val="20"/>
        </w:rPr>
        <w:t>2</w:t>
      </w:r>
      <w:r>
        <w:rPr>
          <w:rFonts w:ascii="Century Gothic" w:hAnsi="Century Gothic"/>
          <w:b/>
          <w:bCs/>
          <w:color w:val="44546A"/>
          <w:sz w:val="20"/>
          <w:szCs w:val="20"/>
        </w:rPr>
        <w:fldChar w:fldCharType="end"/>
      </w:r>
      <w:r w:rsidRPr="00DF212D">
        <w:rPr>
          <w:rFonts w:ascii="Century Gothic" w:hAnsi="Century Gothic"/>
          <w:b/>
          <w:bCs/>
          <w:color w:val="44546A"/>
          <w:sz w:val="20"/>
          <w:szCs w:val="20"/>
        </w:rPr>
        <w:t>.</w:t>
      </w:r>
      <w:r>
        <w:rPr>
          <w:rFonts w:ascii="Century Gothic" w:hAnsi="Century Gothic"/>
          <w:b/>
          <w:bCs/>
          <w:color w:val="44546A"/>
          <w:sz w:val="20"/>
          <w:szCs w:val="20"/>
        </w:rPr>
        <w:fldChar w:fldCharType="begin"/>
      </w:r>
      <w:r w:rsidRPr="00DF212D">
        <w:rPr>
          <w:rFonts w:ascii="Century Gothic" w:hAnsi="Century Gothic"/>
          <w:b/>
          <w:bCs/>
          <w:color w:val="44546A"/>
          <w:sz w:val="20"/>
          <w:szCs w:val="20"/>
        </w:rPr>
        <w:instrText xml:space="preserve"> SEQ Figure \* ARABIC \s 1 </w:instrText>
      </w:r>
      <w:r>
        <w:rPr>
          <w:rFonts w:ascii="Century Gothic" w:hAnsi="Century Gothic"/>
          <w:b/>
          <w:bCs/>
          <w:color w:val="44546A"/>
          <w:sz w:val="20"/>
          <w:szCs w:val="20"/>
        </w:rPr>
        <w:fldChar w:fldCharType="separate"/>
      </w:r>
      <w:r w:rsidR="001470A9">
        <w:rPr>
          <w:rFonts w:ascii="Century Gothic" w:hAnsi="Century Gothic"/>
          <w:b/>
          <w:bCs/>
          <w:noProof/>
          <w:color w:val="44546A"/>
          <w:sz w:val="20"/>
          <w:szCs w:val="20"/>
        </w:rPr>
        <w:t>1</w:t>
      </w:r>
      <w:r>
        <w:rPr>
          <w:rFonts w:ascii="Century Gothic" w:hAnsi="Century Gothic"/>
          <w:b/>
          <w:bCs/>
          <w:color w:val="44546A"/>
          <w:sz w:val="20"/>
          <w:szCs w:val="20"/>
        </w:rPr>
        <w:fldChar w:fldCharType="end"/>
      </w:r>
      <w:r w:rsidRPr="00DF212D">
        <w:rPr>
          <w:rFonts w:ascii="Century Gothic" w:hAnsi="Century Gothic"/>
          <w:b/>
          <w:bCs/>
          <w:color w:val="44546A"/>
          <w:sz w:val="20"/>
          <w:szCs w:val="20"/>
        </w:rPr>
        <w:t xml:space="preserve"> </w:t>
      </w:r>
      <w:r>
        <w:rPr>
          <w:rFonts w:ascii="Century Gothic" w:hAnsi="Century Gothic"/>
          <w:b/>
          <w:bCs/>
          <w:color w:val="44546A"/>
          <w:sz w:val="20"/>
          <w:szCs w:val="20"/>
        </w:rPr>
        <w:t xml:space="preserve">Usual residence </w:t>
      </w:r>
      <w:r w:rsidR="00DB31B0">
        <w:rPr>
          <w:rFonts w:ascii="Century Gothic" w:hAnsi="Century Gothic"/>
          <w:b/>
          <w:bCs/>
          <w:color w:val="44546A"/>
          <w:sz w:val="20"/>
          <w:szCs w:val="20"/>
        </w:rPr>
        <w:t>five</w:t>
      </w:r>
      <w:r>
        <w:rPr>
          <w:rFonts w:ascii="Century Gothic" w:hAnsi="Century Gothic"/>
          <w:b/>
          <w:bCs/>
          <w:color w:val="44546A"/>
          <w:sz w:val="20"/>
          <w:szCs w:val="20"/>
        </w:rPr>
        <w:t xml:space="preserve"> years ag</w:t>
      </w:r>
      <w:r w:rsidR="00DB31B0">
        <w:rPr>
          <w:rFonts w:ascii="Century Gothic" w:hAnsi="Century Gothic"/>
          <w:b/>
          <w:bCs/>
          <w:color w:val="44546A"/>
          <w:sz w:val="20"/>
          <w:szCs w:val="20"/>
        </w:rPr>
        <w:t xml:space="preserve">o for </w:t>
      </w:r>
      <w:proofErr w:type="spellStart"/>
      <w:r w:rsidR="008B1B8A">
        <w:rPr>
          <w:rFonts w:ascii="Century Gothic" w:hAnsi="Century Gothic"/>
          <w:b/>
          <w:bCs/>
          <w:color w:val="44546A"/>
          <w:sz w:val="20"/>
          <w:szCs w:val="20"/>
        </w:rPr>
        <w:t>Ngāi</w:t>
      </w:r>
      <w:proofErr w:type="spellEnd"/>
      <w:r w:rsidRPr="00DF212D">
        <w:rPr>
          <w:rFonts w:ascii="Century Gothic" w:hAnsi="Century Gothic"/>
          <w:b/>
          <w:bCs/>
          <w:color w:val="44546A"/>
          <w:sz w:val="20"/>
          <w:szCs w:val="20"/>
        </w:rPr>
        <w:t xml:space="preserve"> </w:t>
      </w:r>
      <w:proofErr w:type="spellStart"/>
      <w:r w:rsidRPr="00DF212D">
        <w:rPr>
          <w:rFonts w:ascii="Century Gothic" w:hAnsi="Century Gothic"/>
          <w:b/>
          <w:bCs/>
          <w:color w:val="44546A"/>
          <w:sz w:val="20"/>
          <w:szCs w:val="20"/>
        </w:rPr>
        <w:t>Tāmanuhiri</w:t>
      </w:r>
      <w:proofErr w:type="spellEnd"/>
      <w:r>
        <w:rPr>
          <w:rFonts w:ascii="Century Gothic" w:hAnsi="Century Gothic"/>
          <w:b/>
          <w:bCs/>
          <w:color w:val="44546A"/>
          <w:sz w:val="20"/>
          <w:szCs w:val="20"/>
        </w:rPr>
        <w:t>; 2006 and 2013 Censuses</w:t>
      </w:r>
      <w:bookmarkEnd w:id="30"/>
    </w:p>
    <w:p w14:paraId="38416AD6" w14:textId="0C06D7C2" w:rsidR="0065189F" w:rsidRDefault="00954E28" w:rsidP="001103A8">
      <w:pPr>
        <w:spacing w:after="0" w:line="276" w:lineRule="auto"/>
        <w:rPr>
          <w:rFonts w:ascii="Century Gothic" w:hAnsi="Century Gothic"/>
          <w:b/>
          <w:bCs/>
          <w:color w:val="44546A"/>
          <w:sz w:val="20"/>
          <w:szCs w:val="20"/>
        </w:rPr>
      </w:pPr>
      <w:r w:rsidRPr="00DB31B0">
        <w:rPr>
          <w:noProof/>
        </w:rPr>
        <w:drawing>
          <wp:anchor distT="0" distB="0" distL="114300" distR="114300" simplePos="0" relativeHeight="252314624" behindDoc="1" locked="0" layoutInCell="1" allowOverlap="1" wp14:anchorId="78EED075" wp14:editId="6284E030">
            <wp:simplePos x="0" y="0"/>
            <wp:positionH relativeFrom="margin">
              <wp:align>left</wp:align>
            </wp:positionH>
            <wp:positionV relativeFrom="paragraph">
              <wp:posOffset>64770</wp:posOffset>
            </wp:positionV>
            <wp:extent cx="5853600" cy="2232000"/>
            <wp:effectExtent l="0" t="0" r="0" b="0"/>
            <wp:wrapTight wrapText="bothSides">
              <wp:wrapPolygon edited="0">
                <wp:start x="0" y="0"/>
                <wp:lineTo x="0" y="21391"/>
                <wp:lineTo x="21511" y="21391"/>
                <wp:lineTo x="21511" y="0"/>
                <wp:lineTo x="0" y="0"/>
              </wp:wrapPolygon>
            </wp:wrapTight>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53600" cy="223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AC639E" w14:textId="01BE2080" w:rsidR="0065189F" w:rsidRDefault="0065189F" w:rsidP="001103A8">
      <w:pPr>
        <w:spacing w:after="0" w:line="276" w:lineRule="auto"/>
        <w:rPr>
          <w:rFonts w:ascii="Century Gothic" w:hAnsi="Century Gothic"/>
          <w:b/>
          <w:bCs/>
          <w:color w:val="44546A"/>
          <w:sz w:val="20"/>
          <w:szCs w:val="20"/>
        </w:rPr>
      </w:pPr>
    </w:p>
    <w:p w14:paraId="73187EE0" w14:textId="77777777" w:rsidR="00954E28" w:rsidRDefault="00954E28" w:rsidP="001103A8">
      <w:pPr>
        <w:spacing w:after="0" w:line="276" w:lineRule="auto"/>
        <w:rPr>
          <w:rFonts w:ascii="Century Gothic" w:hAnsi="Century Gothic"/>
          <w:b/>
          <w:bCs/>
          <w:color w:val="44546A"/>
          <w:sz w:val="20"/>
          <w:szCs w:val="20"/>
        </w:rPr>
      </w:pPr>
    </w:p>
    <w:p w14:paraId="58091D60" w14:textId="77777777" w:rsidR="00954E28" w:rsidRDefault="00954E28" w:rsidP="001103A8">
      <w:pPr>
        <w:spacing w:after="0" w:line="276" w:lineRule="auto"/>
        <w:rPr>
          <w:rFonts w:ascii="Century Gothic" w:hAnsi="Century Gothic"/>
          <w:b/>
          <w:bCs/>
          <w:color w:val="44546A"/>
          <w:sz w:val="20"/>
          <w:szCs w:val="20"/>
        </w:rPr>
      </w:pPr>
    </w:p>
    <w:p w14:paraId="41A96AD7" w14:textId="77777777" w:rsidR="00954E28" w:rsidRDefault="00954E28" w:rsidP="001103A8">
      <w:pPr>
        <w:spacing w:after="0" w:line="276" w:lineRule="auto"/>
        <w:rPr>
          <w:rFonts w:ascii="Century Gothic" w:hAnsi="Century Gothic"/>
          <w:b/>
          <w:bCs/>
          <w:color w:val="44546A"/>
          <w:sz w:val="20"/>
          <w:szCs w:val="20"/>
        </w:rPr>
      </w:pPr>
    </w:p>
    <w:p w14:paraId="05069BEA" w14:textId="77777777" w:rsidR="00954E28" w:rsidRDefault="00954E28" w:rsidP="001103A8">
      <w:pPr>
        <w:spacing w:after="0" w:line="276" w:lineRule="auto"/>
        <w:rPr>
          <w:rFonts w:ascii="Century Gothic" w:hAnsi="Century Gothic"/>
          <w:b/>
          <w:bCs/>
          <w:color w:val="44546A"/>
          <w:sz w:val="20"/>
          <w:szCs w:val="20"/>
        </w:rPr>
      </w:pPr>
    </w:p>
    <w:p w14:paraId="427ABBAF" w14:textId="77777777" w:rsidR="00954E28" w:rsidRDefault="00954E28" w:rsidP="001103A8">
      <w:pPr>
        <w:spacing w:after="0" w:line="276" w:lineRule="auto"/>
        <w:rPr>
          <w:rFonts w:ascii="Century Gothic" w:hAnsi="Century Gothic"/>
          <w:b/>
          <w:bCs/>
          <w:color w:val="44546A"/>
          <w:sz w:val="20"/>
          <w:szCs w:val="20"/>
        </w:rPr>
      </w:pPr>
    </w:p>
    <w:p w14:paraId="452EE8DE" w14:textId="77777777" w:rsidR="00954E28" w:rsidRDefault="00954E28" w:rsidP="001103A8">
      <w:pPr>
        <w:spacing w:after="0" w:line="276" w:lineRule="auto"/>
        <w:rPr>
          <w:rFonts w:ascii="Century Gothic" w:hAnsi="Century Gothic"/>
          <w:b/>
          <w:bCs/>
          <w:color w:val="44546A"/>
          <w:sz w:val="20"/>
          <w:szCs w:val="20"/>
        </w:rPr>
      </w:pPr>
    </w:p>
    <w:p w14:paraId="12E84680" w14:textId="77777777" w:rsidR="00954E28" w:rsidRDefault="00954E28" w:rsidP="001103A8">
      <w:pPr>
        <w:spacing w:after="0" w:line="276" w:lineRule="auto"/>
        <w:rPr>
          <w:rFonts w:ascii="Century Gothic" w:hAnsi="Century Gothic"/>
          <w:b/>
          <w:bCs/>
          <w:color w:val="44546A"/>
          <w:sz w:val="20"/>
          <w:szCs w:val="20"/>
        </w:rPr>
      </w:pPr>
    </w:p>
    <w:p w14:paraId="50401D2D" w14:textId="77777777" w:rsidR="00954E28" w:rsidRDefault="00954E28" w:rsidP="001103A8">
      <w:pPr>
        <w:spacing w:after="0" w:line="276" w:lineRule="auto"/>
        <w:rPr>
          <w:rFonts w:ascii="Century Gothic" w:hAnsi="Century Gothic"/>
          <w:b/>
          <w:bCs/>
          <w:color w:val="44546A"/>
          <w:sz w:val="20"/>
          <w:szCs w:val="20"/>
        </w:rPr>
      </w:pPr>
    </w:p>
    <w:p w14:paraId="145383D2" w14:textId="77777777" w:rsidR="00954E28" w:rsidRDefault="00954E28" w:rsidP="001103A8">
      <w:pPr>
        <w:spacing w:after="0" w:line="276" w:lineRule="auto"/>
        <w:rPr>
          <w:rFonts w:ascii="Century Gothic" w:hAnsi="Century Gothic"/>
          <w:b/>
          <w:bCs/>
          <w:color w:val="44546A"/>
          <w:sz w:val="20"/>
          <w:szCs w:val="20"/>
        </w:rPr>
      </w:pPr>
    </w:p>
    <w:p w14:paraId="60E27267" w14:textId="77777777" w:rsidR="00954E28" w:rsidRDefault="00954E28" w:rsidP="001103A8">
      <w:pPr>
        <w:spacing w:after="0" w:line="276" w:lineRule="auto"/>
        <w:rPr>
          <w:rFonts w:ascii="Century Gothic" w:hAnsi="Century Gothic"/>
          <w:b/>
          <w:bCs/>
          <w:color w:val="44546A"/>
          <w:sz w:val="20"/>
          <w:szCs w:val="20"/>
        </w:rPr>
      </w:pPr>
    </w:p>
    <w:p w14:paraId="102C2AAC" w14:textId="77777777" w:rsidR="00954E28" w:rsidRDefault="00954E28" w:rsidP="001103A8">
      <w:pPr>
        <w:spacing w:after="0" w:line="276" w:lineRule="auto"/>
        <w:rPr>
          <w:rFonts w:ascii="Century Gothic" w:hAnsi="Century Gothic"/>
          <w:b/>
          <w:bCs/>
          <w:color w:val="44546A"/>
          <w:sz w:val="20"/>
          <w:szCs w:val="20"/>
        </w:rPr>
      </w:pPr>
    </w:p>
    <w:p w14:paraId="4E905504" w14:textId="77777777" w:rsidR="00954E28" w:rsidRDefault="00954E28" w:rsidP="001103A8">
      <w:pPr>
        <w:spacing w:after="0" w:line="276" w:lineRule="auto"/>
        <w:rPr>
          <w:rFonts w:ascii="Century Gothic" w:hAnsi="Century Gothic"/>
          <w:b/>
          <w:bCs/>
          <w:color w:val="44546A"/>
          <w:sz w:val="20"/>
          <w:szCs w:val="20"/>
        </w:rPr>
      </w:pPr>
    </w:p>
    <w:p w14:paraId="35C23EF0" w14:textId="77777777" w:rsidR="00954E28" w:rsidRDefault="00954E28" w:rsidP="001103A8">
      <w:pPr>
        <w:spacing w:after="0" w:line="276" w:lineRule="auto"/>
        <w:rPr>
          <w:rFonts w:ascii="Century Gothic" w:hAnsi="Century Gothic"/>
          <w:b/>
          <w:bCs/>
          <w:color w:val="44546A"/>
          <w:sz w:val="20"/>
          <w:szCs w:val="20"/>
        </w:rPr>
      </w:pPr>
    </w:p>
    <w:p w14:paraId="0BF2BD0B" w14:textId="020C64BC" w:rsidR="006D0699" w:rsidRPr="00DF212D" w:rsidRDefault="006D0699" w:rsidP="001103A8">
      <w:pPr>
        <w:spacing w:after="0" w:line="276" w:lineRule="auto"/>
        <w:rPr>
          <w:rFonts w:ascii="Century Gothic" w:eastAsiaTheme="majorEastAsia" w:hAnsi="Century Gothic" w:cstheme="majorBidi"/>
          <w:b/>
          <w:bCs/>
          <w:color w:val="4EAFC6"/>
          <w:sz w:val="21"/>
          <w:szCs w:val="21"/>
          <w:lang w:eastAsia="en-US"/>
        </w:rPr>
      </w:pPr>
      <w:bookmarkStart w:id="31" w:name="_Toc491783070"/>
      <w:r w:rsidRPr="00DF212D">
        <w:rPr>
          <w:rFonts w:ascii="Century Gothic" w:hAnsi="Century Gothic"/>
          <w:b/>
          <w:bCs/>
          <w:color w:val="44546A"/>
          <w:sz w:val="20"/>
          <w:szCs w:val="20"/>
        </w:rPr>
        <w:t xml:space="preserve">Figure </w:t>
      </w:r>
      <w:r>
        <w:rPr>
          <w:rFonts w:ascii="Century Gothic" w:hAnsi="Century Gothic"/>
          <w:b/>
          <w:bCs/>
          <w:color w:val="44546A"/>
          <w:sz w:val="20"/>
          <w:szCs w:val="20"/>
        </w:rPr>
        <w:fldChar w:fldCharType="begin"/>
      </w:r>
      <w:r w:rsidRPr="00DF212D">
        <w:rPr>
          <w:rFonts w:ascii="Century Gothic" w:hAnsi="Century Gothic"/>
          <w:b/>
          <w:bCs/>
          <w:color w:val="44546A"/>
          <w:sz w:val="20"/>
          <w:szCs w:val="20"/>
        </w:rPr>
        <w:instrText xml:space="preserve"> STYLEREF 1 \s </w:instrText>
      </w:r>
      <w:r>
        <w:rPr>
          <w:rFonts w:ascii="Century Gothic" w:hAnsi="Century Gothic"/>
          <w:b/>
          <w:bCs/>
          <w:color w:val="44546A"/>
          <w:sz w:val="20"/>
          <w:szCs w:val="20"/>
        </w:rPr>
        <w:fldChar w:fldCharType="separate"/>
      </w:r>
      <w:r w:rsidR="001470A9">
        <w:rPr>
          <w:rFonts w:ascii="Century Gothic" w:hAnsi="Century Gothic" w:hint="cs"/>
          <w:b/>
          <w:bCs/>
          <w:noProof/>
          <w:color w:val="44546A"/>
          <w:sz w:val="20"/>
          <w:szCs w:val="20"/>
          <w:cs/>
        </w:rPr>
        <w:t>‎</w:t>
      </w:r>
      <w:r w:rsidR="001470A9">
        <w:rPr>
          <w:rFonts w:ascii="Century Gothic" w:hAnsi="Century Gothic"/>
          <w:b/>
          <w:bCs/>
          <w:noProof/>
          <w:color w:val="44546A"/>
          <w:sz w:val="20"/>
          <w:szCs w:val="20"/>
        </w:rPr>
        <w:t>2</w:t>
      </w:r>
      <w:r>
        <w:rPr>
          <w:rFonts w:ascii="Century Gothic" w:hAnsi="Century Gothic"/>
          <w:b/>
          <w:bCs/>
          <w:color w:val="44546A"/>
          <w:sz w:val="20"/>
          <w:szCs w:val="20"/>
        </w:rPr>
        <w:fldChar w:fldCharType="end"/>
      </w:r>
      <w:r w:rsidRPr="00DF212D">
        <w:rPr>
          <w:rFonts w:ascii="Century Gothic" w:hAnsi="Century Gothic"/>
          <w:b/>
          <w:bCs/>
          <w:color w:val="44546A"/>
          <w:sz w:val="20"/>
          <w:szCs w:val="20"/>
        </w:rPr>
        <w:t>.</w:t>
      </w:r>
      <w:r>
        <w:rPr>
          <w:rFonts w:ascii="Century Gothic" w:hAnsi="Century Gothic"/>
          <w:b/>
          <w:bCs/>
          <w:color w:val="44546A"/>
          <w:sz w:val="20"/>
          <w:szCs w:val="20"/>
        </w:rPr>
        <w:fldChar w:fldCharType="begin"/>
      </w:r>
      <w:r w:rsidRPr="00DF212D">
        <w:rPr>
          <w:rFonts w:ascii="Century Gothic" w:hAnsi="Century Gothic"/>
          <w:b/>
          <w:bCs/>
          <w:color w:val="44546A"/>
          <w:sz w:val="20"/>
          <w:szCs w:val="20"/>
        </w:rPr>
        <w:instrText xml:space="preserve"> SEQ Figure \* ARABIC \s 1 </w:instrText>
      </w:r>
      <w:r>
        <w:rPr>
          <w:rFonts w:ascii="Century Gothic" w:hAnsi="Century Gothic"/>
          <w:b/>
          <w:bCs/>
          <w:color w:val="44546A"/>
          <w:sz w:val="20"/>
          <w:szCs w:val="20"/>
        </w:rPr>
        <w:fldChar w:fldCharType="separate"/>
      </w:r>
      <w:r w:rsidR="001470A9">
        <w:rPr>
          <w:rFonts w:ascii="Century Gothic" w:hAnsi="Century Gothic"/>
          <w:b/>
          <w:bCs/>
          <w:noProof/>
          <w:color w:val="44546A"/>
          <w:sz w:val="20"/>
          <w:szCs w:val="20"/>
        </w:rPr>
        <w:t>2</w:t>
      </w:r>
      <w:r>
        <w:rPr>
          <w:rFonts w:ascii="Century Gothic" w:hAnsi="Century Gothic"/>
          <w:b/>
          <w:bCs/>
          <w:color w:val="44546A"/>
          <w:sz w:val="20"/>
          <w:szCs w:val="20"/>
        </w:rPr>
        <w:fldChar w:fldCharType="end"/>
      </w:r>
      <w:r w:rsidRPr="00DF212D">
        <w:rPr>
          <w:rFonts w:ascii="Century Gothic" w:hAnsi="Century Gothic"/>
          <w:b/>
          <w:bCs/>
          <w:color w:val="44546A"/>
          <w:sz w:val="20"/>
          <w:szCs w:val="20"/>
        </w:rPr>
        <w:t xml:space="preserve"> </w:t>
      </w:r>
      <w:r>
        <w:rPr>
          <w:rFonts w:ascii="Century Gothic" w:hAnsi="Century Gothic"/>
          <w:b/>
          <w:bCs/>
          <w:color w:val="44546A"/>
          <w:sz w:val="20"/>
          <w:szCs w:val="20"/>
        </w:rPr>
        <w:t xml:space="preserve">Usual residence five years ago for </w:t>
      </w:r>
      <w:proofErr w:type="spellStart"/>
      <w:r>
        <w:rPr>
          <w:rFonts w:ascii="Century Gothic" w:hAnsi="Century Gothic"/>
          <w:b/>
          <w:bCs/>
          <w:color w:val="44546A"/>
          <w:sz w:val="20"/>
          <w:szCs w:val="20"/>
        </w:rPr>
        <w:t>Ngāi</w:t>
      </w:r>
      <w:proofErr w:type="spellEnd"/>
      <w:r w:rsidRPr="00DF212D">
        <w:rPr>
          <w:rFonts w:ascii="Century Gothic" w:hAnsi="Century Gothic"/>
          <w:b/>
          <w:bCs/>
          <w:color w:val="44546A"/>
          <w:sz w:val="20"/>
          <w:szCs w:val="20"/>
        </w:rPr>
        <w:t xml:space="preserve"> </w:t>
      </w:r>
      <w:proofErr w:type="spellStart"/>
      <w:r w:rsidRPr="00DF212D">
        <w:rPr>
          <w:rFonts w:ascii="Century Gothic" w:hAnsi="Century Gothic"/>
          <w:b/>
          <w:bCs/>
          <w:color w:val="44546A"/>
          <w:sz w:val="20"/>
          <w:szCs w:val="20"/>
        </w:rPr>
        <w:t>Tāmanuhiri</w:t>
      </w:r>
      <w:proofErr w:type="spellEnd"/>
      <w:r w:rsidR="001103A8">
        <w:rPr>
          <w:rFonts w:ascii="Century Gothic" w:hAnsi="Century Gothic"/>
          <w:b/>
          <w:bCs/>
          <w:color w:val="44546A"/>
          <w:sz w:val="20"/>
          <w:szCs w:val="20"/>
        </w:rPr>
        <w:t xml:space="preserve"> </w:t>
      </w:r>
      <w:r>
        <w:rPr>
          <w:rFonts w:ascii="Century Gothic" w:hAnsi="Century Gothic"/>
          <w:b/>
          <w:bCs/>
          <w:color w:val="44546A"/>
          <w:sz w:val="20"/>
          <w:szCs w:val="20"/>
        </w:rPr>
        <w:t>and the Māori descent population; Census 2013</w:t>
      </w:r>
      <w:bookmarkEnd w:id="31"/>
    </w:p>
    <w:p w14:paraId="0A59E9FA" w14:textId="1FF02828" w:rsidR="006D0699" w:rsidRDefault="006D0699" w:rsidP="006D0699">
      <w:pPr>
        <w:spacing w:after="0" w:line="276" w:lineRule="auto"/>
        <w:rPr>
          <w:rFonts w:ascii="Century Gothic" w:hAnsi="Century Gothic"/>
          <w:b/>
          <w:bCs/>
          <w:color w:val="44546A"/>
          <w:sz w:val="20"/>
          <w:szCs w:val="20"/>
        </w:rPr>
      </w:pPr>
    </w:p>
    <w:p w14:paraId="72CE8BB7" w14:textId="5B415847" w:rsidR="006D0699" w:rsidRPr="00DE7843" w:rsidRDefault="00954E28" w:rsidP="00995709">
      <w:pPr>
        <w:spacing w:after="0" w:line="360" w:lineRule="auto"/>
        <w:rPr>
          <w:rFonts w:ascii="Century Gothic" w:hAnsi="Century Gothic"/>
          <w:sz w:val="21"/>
          <w:szCs w:val="21"/>
        </w:rPr>
      </w:pPr>
      <w:r w:rsidRPr="00563C6B">
        <w:rPr>
          <w:noProof/>
        </w:rPr>
        <w:drawing>
          <wp:anchor distT="0" distB="0" distL="114300" distR="114300" simplePos="0" relativeHeight="252370944" behindDoc="1" locked="0" layoutInCell="1" allowOverlap="1" wp14:anchorId="5118084B" wp14:editId="41678F33">
            <wp:simplePos x="0" y="0"/>
            <wp:positionH relativeFrom="margin">
              <wp:posOffset>15902</wp:posOffset>
            </wp:positionH>
            <wp:positionV relativeFrom="paragraph">
              <wp:posOffset>-88403</wp:posOffset>
            </wp:positionV>
            <wp:extent cx="5832000" cy="2228400"/>
            <wp:effectExtent l="0" t="0" r="0" b="635"/>
            <wp:wrapTight wrapText="bothSides">
              <wp:wrapPolygon edited="0">
                <wp:start x="0" y="0"/>
                <wp:lineTo x="0" y="21421"/>
                <wp:lineTo x="21520" y="21421"/>
                <wp:lineTo x="21520" y="0"/>
                <wp:lineTo x="0" y="0"/>
              </wp:wrapPolygon>
            </wp:wrapTight>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32000" cy="222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0699" w:rsidRPr="00DE7843">
        <w:rPr>
          <w:rFonts w:ascii="Century Gothic" w:hAnsi="Century Gothic"/>
          <w:sz w:val="21"/>
          <w:szCs w:val="21"/>
        </w:rPr>
        <w:t xml:space="preserve">Are </w:t>
      </w:r>
      <w:proofErr w:type="spellStart"/>
      <w:r w:rsidR="005E49C0" w:rsidRPr="00DE7843">
        <w:rPr>
          <w:rFonts w:ascii="Century Gothic" w:hAnsi="Century Gothic"/>
          <w:sz w:val="21"/>
          <w:szCs w:val="21"/>
        </w:rPr>
        <w:t>Ngāi</w:t>
      </w:r>
      <w:proofErr w:type="spellEnd"/>
      <w:r w:rsidR="005E49C0" w:rsidRPr="00DE7843">
        <w:rPr>
          <w:rFonts w:ascii="Century Gothic" w:hAnsi="Century Gothic"/>
          <w:sz w:val="21"/>
          <w:szCs w:val="21"/>
        </w:rPr>
        <w:t xml:space="preserve"> </w:t>
      </w:r>
      <w:proofErr w:type="spellStart"/>
      <w:r w:rsidR="005E49C0" w:rsidRPr="00DE7843">
        <w:rPr>
          <w:rFonts w:ascii="Century Gothic" w:hAnsi="Century Gothic"/>
          <w:sz w:val="21"/>
          <w:szCs w:val="21"/>
        </w:rPr>
        <w:lastRenderedPageBreak/>
        <w:t>Tāmanuhiri</w:t>
      </w:r>
      <w:proofErr w:type="spellEnd"/>
      <w:r w:rsidR="005E49C0" w:rsidRPr="00DE7843">
        <w:rPr>
          <w:rFonts w:ascii="Century Gothic" w:hAnsi="Century Gothic"/>
          <w:sz w:val="21"/>
          <w:szCs w:val="21"/>
        </w:rPr>
        <w:t xml:space="preserve"> </w:t>
      </w:r>
      <w:r w:rsidR="006D0699" w:rsidRPr="00DE7843">
        <w:rPr>
          <w:rFonts w:ascii="Century Gothic" w:hAnsi="Century Gothic"/>
          <w:sz w:val="21"/>
          <w:szCs w:val="21"/>
        </w:rPr>
        <w:t xml:space="preserve">who live within the </w:t>
      </w:r>
      <w:r w:rsidR="004D5B40" w:rsidRPr="00DE7843">
        <w:rPr>
          <w:rFonts w:ascii="Century Gothic" w:hAnsi="Century Gothic"/>
          <w:sz w:val="21"/>
          <w:szCs w:val="21"/>
        </w:rPr>
        <w:t xml:space="preserve">broadly defined </w:t>
      </w:r>
      <w:proofErr w:type="spellStart"/>
      <w:r w:rsidR="006D0699" w:rsidRPr="00DE7843">
        <w:rPr>
          <w:rFonts w:ascii="Century Gothic" w:hAnsi="Century Gothic"/>
          <w:sz w:val="21"/>
          <w:szCs w:val="21"/>
        </w:rPr>
        <w:t>rohe</w:t>
      </w:r>
      <w:proofErr w:type="spellEnd"/>
      <w:r w:rsidR="006D0699" w:rsidRPr="00DE7843">
        <w:rPr>
          <w:rFonts w:ascii="Century Gothic" w:hAnsi="Century Gothic"/>
          <w:sz w:val="21"/>
          <w:szCs w:val="21"/>
        </w:rPr>
        <w:t xml:space="preserve"> (i.e., </w:t>
      </w:r>
      <w:proofErr w:type="spellStart"/>
      <w:r w:rsidR="006D0699" w:rsidRPr="00DE7843">
        <w:rPr>
          <w:rFonts w:ascii="Century Gothic" w:hAnsi="Century Gothic"/>
          <w:sz w:val="21"/>
          <w:szCs w:val="21"/>
        </w:rPr>
        <w:t>Gisborne</w:t>
      </w:r>
      <w:proofErr w:type="spellEnd"/>
      <w:r w:rsidR="006D0699" w:rsidRPr="00DE7843">
        <w:rPr>
          <w:rFonts w:ascii="Century Gothic" w:hAnsi="Century Gothic"/>
          <w:sz w:val="21"/>
          <w:szCs w:val="21"/>
        </w:rPr>
        <w:t xml:space="preserve">) less likely to move than those </w:t>
      </w:r>
      <w:r w:rsidR="005E49C0" w:rsidRPr="00DE7843">
        <w:rPr>
          <w:rFonts w:ascii="Century Gothic" w:hAnsi="Century Gothic"/>
          <w:sz w:val="21"/>
          <w:szCs w:val="21"/>
        </w:rPr>
        <w:t xml:space="preserve">of the iwi </w:t>
      </w:r>
      <w:r w:rsidR="006D0699" w:rsidRPr="00DE7843">
        <w:rPr>
          <w:rFonts w:ascii="Century Gothic" w:hAnsi="Century Gothic"/>
          <w:sz w:val="21"/>
          <w:szCs w:val="21"/>
        </w:rPr>
        <w:t xml:space="preserve">living elsewhere? </w:t>
      </w:r>
      <w:r w:rsidR="005E49C0" w:rsidRPr="00DE7843">
        <w:rPr>
          <w:rFonts w:ascii="Century Gothic" w:hAnsi="Century Gothic"/>
          <w:sz w:val="21"/>
          <w:szCs w:val="21"/>
        </w:rPr>
        <w:t xml:space="preserve">Figure 2.3 suggests that this was the case in 2013. Only a third of </w:t>
      </w:r>
      <w:proofErr w:type="spellStart"/>
      <w:r w:rsidR="005E49C0" w:rsidRPr="00DE7843">
        <w:rPr>
          <w:rFonts w:ascii="Century Gothic" w:hAnsi="Century Gothic"/>
          <w:sz w:val="21"/>
          <w:szCs w:val="21"/>
        </w:rPr>
        <w:t>Ngāi</w:t>
      </w:r>
      <w:proofErr w:type="spellEnd"/>
      <w:r w:rsidR="005E49C0" w:rsidRPr="00DE7843">
        <w:rPr>
          <w:rFonts w:ascii="Century Gothic" w:hAnsi="Century Gothic"/>
          <w:sz w:val="21"/>
          <w:szCs w:val="21"/>
        </w:rPr>
        <w:t xml:space="preserve"> </w:t>
      </w:r>
      <w:proofErr w:type="spellStart"/>
      <w:r w:rsidR="005E49C0" w:rsidRPr="00DE7843">
        <w:rPr>
          <w:rFonts w:ascii="Century Gothic" w:hAnsi="Century Gothic"/>
          <w:sz w:val="21"/>
          <w:szCs w:val="21"/>
        </w:rPr>
        <w:t>Tāmanuhiri</w:t>
      </w:r>
      <w:proofErr w:type="spellEnd"/>
      <w:r w:rsidR="005E49C0" w:rsidRPr="00DE7843">
        <w:rPr>
          <w:rFonts w:ascii="Century Gothic" w:hAnsi="Century Gothic"/>
          <w:sz w:val="21"/>
          <w:szCs w:val="21"/>
        </w:rPr>
        <w:t xml:space="preserve"> living in</w:t>
      </w:r>
      <w:r w:rsidR="00CD1702">
        <w:rPr>
          <w:rFonts w:ascii="Century Gothic" w:hAnsi="Century Gothic"/>
          <w:sz w:val="21"/>
          <w:szCs w:val="21"/>
        </w:rPr>
        <w:t xml:space="preserve"> </w:t>
      </w:r>
      <w:proofErr w:type="spellStart"/>
      <w:r w:rsidR="00CD1702">
        <w:rPr>
          <w:rFonts w:ascii="Century Gothic" w:hAnsi="Century Gothic"/>
          <w:sz w:val="21"/>
          <w:szCs w:val="21"/>
        </w:rPr>
        <w:t>Gisborne</w:t>
      </w:r>
      <w:proofErr w:type="spellEnd"/>
      <w:r w:rsidR="00CD1702">
        <w:rPr>
          <w:rFonts w:ascii="Century Gothic" w:hAnsi="Century Gothic"/>
          <w:sz w:val="21"/>
          <w:szCs w:val="21"/>
        </w:rPr>
        <w:t xml:space="preserve"> Region had moved</w:t>
      </w:r>
      <w:r w:rsidR="001B0EEC" w:rsidRPr="00DE7843">
        <w:rPr>
          <w:rFonts w:ascii="Century Gothic" w:hAnsi="Century Gothic"/>
          <w:sz w:val="21"/>
          <w:szCs w:val="21"/>
        </w:rPr>
        <w:t xml:space="preserve"> address in</w:t>
      </w:r>
      <w:r w:rsidR="005E49C0" w:rsidRPr="00DE7843">
        <w:rPr>
          <w:rFonts w:ascii="Century Gothic" w:hAnsi="Century Gothic"/>
          <w:sz w:val="21"/>
          <w:szCs w:val="21"/>
        </w:rPr>
        <w:t xml:space="preserve"> the last five years compared to half of those living elsewhere in </w:t>
      </w:r>
      <w:proofErr w:type="spellStart"/>
      <w:r w:rsidR="005E49C0" w:rsidRPr="00DE7843">
        <w:rPr>
          <w:rFonts w:ascii="Century Gothic" w:hAnsi="Century Gothic"/>
          <w:sz w:val="21"/>
          <w:szCs w:val="21"/>
        </w:rPr>
        <w:t>A</w:t>
      </w:r>
      <w:r w:rsidR="00CD1702">
        <w:rPr>
          <w:rFonts w:ascii="Century Gothic" w:hAnsi="Century Gothic"/>
          <w:sz w:val="21"/>
          <w:szCs w:val="21"/>
        </w:rPr>
        <w:t>otearoa</w:t>
      </w:r>
      <w:proofErr w:type="spellEnd"/>
      <w:r w:rsidR="00CD1702">
        <w:rPr>
          <w:rFonts w:ascii="Century Gothic" w:hAnsi="Century Gothic"/>
          <w:sz w:val="21"/>
          <w:szCs w:val="21"/>
        </w:rPr>
        <w:t>. Small numbers preclude</w:t>
      </w:r>
      <w:r w:rsidR="005E49C0" w:rsidRPr="00DE7843">
        <w:rPr>
          <w:rFonts w:ascii="Century Gothic" w:hAnsi="Century Gothic"/>
          <w:sz w:val="21"/>
          <w:szCs w:val="21"/>
        </w:rPr>
        <w:t xml:space="preserve"> us from looking at the other regions separately, thus we have to aggregate them all together into ‘Rest of NZ’.</w:t>
      </w:r>
    </w:p>
    <w:p w14:paraId="78D2CE4F" w14:textId="77777777" w:rsidR="006D0699" w:rsidRDefault="006D0699" w:rsidP="006001B0">
      <w:pPr>
        <w:spacing w:after="0" w:line="276" w:lineRule="auto"/>
        <w:rPr>
          <w:rFonts w:ascii="Century Gothic" w:hAnsi="Century Gothic"/>
          <w:b/>
          <w:bCs/>
          <w:color w:val="44546A"/>
          <w:sz w:val="20"/>
          <w:szCs w:val="20"/>
        </w:rPr>
      </w:pPr>
    </w:p>
    <w:p w14:paraId="4A419D04" w14:textId="77777777" w:rsidR="006D0699" w:rsidRDefault="006D0699" w:rsidP="006001B0">
      <w:pPr>
        <w:spacing w:after="0" w:line="276" w:lineRule="auto"/>
        <w:rPr>
          <w:rFonts w:ascii="Century Gothic" w:hAnsi="Century Gothic"/>
          <w:b/>
          <w:bCs/>
          <w:color w:val="44546A"/>
          <w:sz w:val="20"/>
          <w:szCs w:val="20"/>
        </w:rPr>
      </w:pPr>
    </w:p>
    <w:p w14:paraId="7F6685FC" w14:textId="5D307168" w:rsidR="00A328CD" w:rsidRPr="00DF212D" w:rsidRDefault="0024365C" w:rsidP="001103A8">
      <w:pPr>
        <w:spacing w:after="0" w:line="276" w:lineRule="auto"/>
        <w:rPr>
          <w:rFonts w:ascii="Century Gothic" w:eastAsiaTheme="majorEastAsia" w:hAnsi="Century Gothic" w:cstheme="majorBidi"/>
          <w:b/>
          <w:bCs/>
          <w:color w:val="4EAFC6"/>
          <w:sz w:val="21"/>
          <w:szCs w:val="21"/>
          <w:lang w:eastAsia="en-US"/>
        </w:rPr>
      </w:pPr>
      <w:bookmarkStart w:id="32" w:name="_Toc491783071"/>
      <w:r w:rsidRPr="0024365C">
        <w:rPr>
          <w:noProof/>
        </w:rPr>
        <w:drawing>
          <wp:anchor distT="0" distB="0" distL="114300" distR="114300" simplePos="0" relativeHeight="252318720" behindDoc="1" locked="0" layoutInCell="1" allowOverlap="1" wp14:anchorId="185620F4" wp14:editId="0FCC2F11">
            <wp:simplePos x="0" y="0"/>
            <wp:positionH relativeFrom="column">
              <wp:posOffset>4408</wp:posOffset>
            </wp:positionH>
            <wp:positionV relativeFrom="paragraph">
              <wp:posOffset>430033</wp:posOffset>
            </wp:positionV>
            <wp:extent cx="6224400" cy="2602800"/>
            <wp:effectExtent l="0" t="0" r="5080" b="7620"/>
            <wp:wrapTight wrapText="bothSides">
              <wp:wrapPolygon edited="0">
                <wp:start x="0" y="0"/>
                <wp:lineTo x="0" y="21505"/>
                <wp:lineTo x="21552" y="21505"/>
                <wp:lineTo x="215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24400" cy="260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8CD" w:rsidRPr="00DF212D">
        <w:rPr>
          <w:rFonts w:ascii="Century Gothic" w:hAnsi="Century Gothic"/>
          <w:b/>
          <w:bCs/>
          <w:color w:val="44546A"/>
          <w:sz w:val="20"/>
          <w:szCs w:val="20"/>
        </w:rPr>
        <w:t xml:space="preserve">Figure </w:t>
      </w:r>
      <w:r w:rsidR="00A328CD">
        <w:rPr>
          <w:rFonts w:ascii="Century Gothic" w:hAnsi="Century Gothic"/>
          <w:b/>
          <w:bCs/>
          <w:color w:val="44546A"/>
          <w:sz w:val="20"/>
          <w:szCs w:val="20"/>
        </w:rPr>
        <w:fldChar w:fldCharType="begin"/>
      </w:r>
      <w:r w:rsidR="00A328CD" w:rsidRPr="00DF212D">
        <w:rPr>
          <w:rFonts w:ascii="Century Gothic" w:hAnsi="Century Gothic"/>
          <w:b/>
          <w:bCs/>
          <w:color w:val="44546A"/>
          <w:sz w:val="20"/>
          <w:szCs w:val="20"/>
        </w:rPr>
        <w:instrText xml:space="preserve"> STYLEREF 1 \s </w:instrText>
      </w:r>
      <w:r w:rsidR="00A328CD">
        <w:rPr>
          <w:rFonts w:ascii="Century Gothic" w:hAnsi="Century Gothic"/>
          <w:b/>
          <w:bCs/>
          <w:color w:val="44546A"/>
          <w:sz w:val="20"/>
          <w:szCs w:val="20"/>
        </w:rPr>
        <w:fldChar w:fldCharType="separate"/>
      </w:r>
      <w:r w:rsidR="00954E28">
        <w:rPr>
          <w:rFonts w:ascii="Century Gothic" w:hAnsi="Century Gothic" w:hint="cs"/>
          <w:b/>
          <w:bCs/>
          <w:noProof/>
          <w:color w:val="44546A"/>
          <w:sz w:val="20"/>
          <w:szCs w:val="20"/>
          <w:cs/>
        </w:rPr>
        <w:t>‎</w:t>
      </w:r>
      <w:r w:rsidR="00954E28">
        <w:rPr>
          <w:rFonts w:ascii="Century Gothic" w:hAnsi="Century Gothic"/>
          <w:b/>
          <w:bCs/>
          <w:noProof/>
          <w:color w:val="44546A"/>
          <w:sz w:val="20"/>
          <w:szCs w:val="20"/>
        </w:rPr>
        <w:t>2</w:t>
      </w:r>
      <w:r w:rsidR="00A328CD">
        <w:rPr>
          <w:rFonts w:ascii="Century Gothic" w:hAnsi="Century Gothic"/>
          <w:b/>
          <w:bCs/>
          <w:color w:val="44546A"/>
          <w:sz w:val="20"/>
          <w:szCs w:val="20"/>
        </w:rPr>
        <w:fldChar w:fldCharType="end"/>
      </w:r>
      <w:r w:rsidR="00A328CD" w:rsidRPr="00DF212D">
        <w:rPr>
          <w:rFonts w:ascii="Century Gothic" w:hAnsi="Century Gothic"/>
          <w:b/>
          <w:bCs/>
          <w:color w:val="44546A"/>
          <w:sz w:val="20"/>
          <w:szCs w:val="20"/>
        </w:rPr>
        <w:t>.</w:t>
      </w:r>
      <w:r w:rsidR="00A328CD">
        <w:rPr>
          <w:rFonts w:ascii="Century Gothic" w:hAnsi="Century Gothic"/>
          <w:b/>
          <w:bCs/>
          <w:color w:val="44546A"/>
          <w:sz w:val="20"/>
          <w:szCs w:val="20"/>
        </w:rPr>
        <w:fldChar w:fldCharType="begin"/>
      </w:r>
      <w:r w:rsidR="00A328CD" w:rsidRPr="00DF212D">
        <w:rPr>
          <w:rFonts w:ascii="Century Gothic" w:hAnsi="Century Gothic"/>
          <w:b/>
          <w:bCs/>
          <w:color w:val="44546A"/>
          <w:sz w:val="20"/>
          <w:szCs w:val="20"/>
        </w:rPr>
        <w:instrText xml:space="preserve"> SEQ Figure \* ARABIC \s 1 </w:instrText>
      </w:r>
      <w:r w:rsidR="00A328CD">
        <w:rPr>
          <w:rFonts w:ascii="Century Gothic" w:hAnsi="Century Gothic"/>
          <w:b/>
          <w:bCs/>
          <w:color w:val="44546A"/>
          <w:sz w:val="20"/>
          <w:szCs w:val="20"/>
        </w:rPr>
        <w:fldChar w:fldCharType="separate"/>
      </w:r>
      <w:r w:rsidR="00954E28">
        <w:rPr>
          <w:rFonts w:ascii="Century Gothic" w:hAnsi="Century Gothic"/>
          <w:b/>
          <w:bCs/>
          <w:noProof/>
          <w:color w:val="44546A"/>
          <w:sz w:val="20"/>
          <w:szCs w:val="20"/>
        </w:rPr>
        <w:t>3</w:t>
      </w:r>
      <w:r w:rsidR="00A328CD">
        <w:rPr>
          <w:rFonts w:ascii="Century Gothic" w:hAnsi="Century Gothic"/>
          <w:b/>
          <w:bCs/>
          <w:color w:val="44546A"/>
          <w:sz w:val="20"/>
          <w:szCs w:val="20"/>
        </w:rPr>
        <w:fldChar w:fldCharType="end"/>
      </w:r>
      <w:r w:rsidR="00A328CD" w:rsidRPr="00DF212D">
        <w:rPr>
          <w:rFonts w:ascii="Century Gothic" w:hAnsi="Century Gothic"/>
          <w:b/>
          <w:bCs/>
          <w:color w:val="44546A"/>
          <w:sz w:val="20"/>
          <w:szCs w:val="20"/>
        </w:rPr>
        <w:t xml:space="preserve"> </w:t>
      </w:r>
      <w:r w:rsidR="00A328CD">
        <w:rPr>
          <w:rFonts w:ascii="Century Gothic" w:hAnsi="Century Gothic"/>
          <w:b/>
          <w:bCs/>
          <w:color w:val="44546A"/>
          <w:sz w:val="20"/>
          <w:szCs w:val="20"/>
        </w:rPr>
        <w:t xml:space="preserve">Usual residence five years ago for </w:t>
      </w:r>
      <w:proofErr w:type="spellStart"/>
      <w:r w:rsidR="008B1B8A">
        <w:rPr>
          <w:rFonts w:ascii="Century Gothic" w:hAnsi="Century Gothic"/>
          <w:b/>
          <w:bCs/>
          <w:color w:val="44546A"/>
          <w:sz w:val="20"/>
          <w:szCs w:val="20"/>
        </w:rPr>
        <w:t>Ngāi</w:t>
      </w:r>
      <w:proofErr w:type="spellEnd"/>
      <w:r w:rsidR="00A328CD" w:rsidRPr="00DF212D">
        <w:rPr>
          <w:rFonts w:ascii="Century Gothic" w:hAnsi="Century Gothic"/>
          <w:b/>
          <w:bCs/>
          <w:color w:val="44546A"/>
          <w:sz w:val="20"/>
          <w:szCs w:val="20"/>
        </w:rPr>
        <w:t xml:space="preserve"> </w:t>
      </w:r>
      <w:proofErr w:type="spellStart"/>
      <w:r w:rsidR="00A328CD" w:rsidRPr="00DF212D">
        <w:rPr>
          <w:rFonts w:ascii="Century Gothic" w:hAnsi="Century Gothic"/>
          <w:b/>
          <w:bCs/>
          <w:color w:val="44546A"/>
          <w:sz w:val="20"/>
          <w:szCs w:val="20"/>
        </w:rPr>
        <w:t>Tāmanuhiri</w:t>
      </w:r>
      <w:proofErr w:type="spellEnd"/>
      <w:r w:rsidR="00A328CD">
        <w:rPr>
          <w:rFonts w:ascii="Century Gothic" w:hAnsi="Century Gothic"/>
          <w:b/>
          <w:bCs/>
          <w:color w:val="44546A"/>
          <w:sz w:val="20"/>
          <w:szCs w:val="20"/>
        </w:rPr>
        <w:t xml:space="preserve"> disaggregated by </w:t>
      </w:r>
      <w:r>
        <w:rPr>
          <w:rFonts w:ascii="Century Gothic" w:hAnsi="Century Gothic"/>
          <w:b/>
          <w:bCs/>
          <w:color w:val="44546A"/>
          <w:sz w:val="20"/>
          <w:szCs w:val="20"/>
        </w:rPr>
        <w:t>area</w:t>
      </w:r>
      <w:r w:rsidR="00A328CD">
        <w:rPr>
          <w:rFonts w:ascii="Century Gothic" w:hAnsi="Century Gothic"/>
          <w:b/>
          <w:bCs/>
          <w:color w:val="44546A"/>
          <w:sz w:val="20"/>
          <w:szCs w:val="20"/>
        </w:rPr>
        <w:t xml:space="preserve"> of residence; </w:t>
      </w:r>
      <w:r>
        <w:rPr>
          <w:rFonts w:ascii="Century Gothic" w:hAnsi="Century Gothic"/>
          <w:b/>
          <w:bCs/>
          <w:color w:val="44546A"/>
          <w:sz w:val="20"/>
          <w:szCs w:val="20"/>
        </w:rPr>
        <w:t>Census 2013</w:t>
      </w:r>
      <w:bookmarkEnd w:id="32"/>
    </w:p>
    <w:p w14:paraId="2E51832D" w14:textId="77777777" w:rsidR="0065189F" w:rsidRDefault="0065189F" w:rsidP="004D5B40">
      <w:pPr>
        <w:spacing w:after="0" w:line="360" w:lineRule="auto"/>
        <w:rPr>
          <w:rFonts w:ascii="Century Gothic" w:hAnsi="Century Gothic"/>
          <w:color w:val="44546A"/>
          <w:sz w:val="21"/>
          <w:szCs w:val="21"/>
        </w:rPr>
      </w:pPr>
    </w:p>
    <w:p w14:paraId="655E6AE7" w14:textId="3089F60B" w:rsidR="00A328CD" w:rsidRPr="00DE7843" w:rsidRDefault="00741D1E" w:rsidP="00CD1702">
      <w:pPr>
        <w:spacing w:after="0" w:line="360" w:lineRule="auto"/>
        <w:rPr>
          <w:rFonts w:ascii="Century Gothic" w:hAnsi="Century Gothic"/>
          <w:sz w:val="21"/>
          <w:szCs w:val="21"/>
        </w:rPr>
      </w:pPr>
      <w:r w:rsidRPr="00DE7843">
        <w:rPr>
          <w:rFonts w:ascii="Century Gothic" w:hAnsi="Century Gothic"/>
          <w:sz w:val="21"/>
          <w:szCs w:val="21"/>
        </w:rPr>
        <w:t xml:space="preserve">Focusing on </w:t>
      </w:r>
      <w:proofErr w:type="spellStart"/>
      <w:r w:rsidR="004D5B40" w:rsidRPr="00DE7843">
        <w:rPr>
          <w:rFonts w:ascii="Century Gothic" w:hAnsi="Century Gothic"/>
          <w:sz w:val="21"/>
          <w:szCs w:val="21"/>
        </w:rPr>
        <w:t>Ngāi</w:t>
      </w:r>
      <w:proofErr w:type="spellEnd"/>
      <w:r w:rsidR="004D5B40" w:rsidRPr="00DE7843">
        <w:rPr>
          <w:rFonts w:ascii="Century Gothic" w:hAnsi="Century Gothic"/>
          <w:sz w:val="21"/>
          <w:szCs w:val="21"/>
        </w:rPr>
        <w:t xml:space="preserve"> </w:t>
      </w:r>
      <w:proofErr w:type="spellStart"/>
      <w:r w:rsidR="004D5B40" w:rsidRPr="00DE7843">
        <w:rPr>
          <w:rFonts w:ascii="Century Gothic" w:hAnsi="Century Gothic"/>
          <w:sz w:val="21"/>
          <w:szCs w:val="21"/>
        </w:rPr>
        <w:t>Tāmanuhiri</w:t>
      </w:r>
      <w:proofErr w:type="spellEnd"/>
      <w:r w:rsidR="004D5B40" w:rsidRPr="00DE7843">
        <w:rPr>
          <w:rFonts w:ascii="Century Gothic" w:hAnsi="Century Gothic"/>
          <w:sz w:val="21"/>
          <w:szCs w:val="21"/>
        </w:rPr>
        <w:t xml:space="preserve"> </w:t>
      </w:r>
      <w:proofErr w:type="spellStart"/>
      <w:proofErr w:type="gramStart"/>
      <w:r w:rsidR="00CD1702">
        <w:rPr>
          <w:rFonts w:ascii="Century Gothic" w:hAnsi="Century Gothic"/>
          <w:sz w:val="21"/>
          <w:szCs w:val="21"/>
        </w:rPr>
        <w:t>t</w:t>
      </w:r>
      <w:r w:rsidR="000B60A9" w:rsidRPr="00DE7843">
        <w:rPr>
          <w:rFonts w:ascii="Century Gothic" w:hAnsi="Century Gothic"/>
          <w:sz w:val="21"/>
          <w:szCs w:val="21"/>
        </w:rPr>
        <w:t>e</w:t>
      </w:r>
      <w:proofErr w:type="spellEnd"/>
      <w:proofErr w:type="gramEnd"/>
      <w:r w:rsidR="000B60A9" w:rsidRPr="00DE7843">
        <w:rPr>
          <w:rFonts w:ascii="Century Gothic" w:hAnsi="Century Gothic"/>
          <w:sz w:val="21"/>
          <w:szCs w:val="21"/>
        </w:rPr>
        <w:t xml:space="preserve"> reo Māori</w:t>
      </w:r>
      <w:r w:rsidRPr="00DE7843">
        <w:rPr>
          <w:rFonts w:ascii="Century Gothic" w:hAnsi="Century Gothic"/>
          <w:sz w:val="21"/>
          <w:szCs w:val="21"/>
        </w:rPr>
        <w:t xml:space="preserve"> speakers, Figure 2.4 shows that </w:t>
      </w:r>
      <w:r w:rsidR="004D5B40" w:rsidRPr="00DE7843">
        <w:rPr>
          <w:rFonts w:ascii="Century Gothic" w:hAnsi="Century Gothic"/>
          <w:sz w:val="21"/>
          <w:szCs w:val="21"/>
        </w:rPr>
        <w:t xml:space="preserve">in 2013 about 45 per cent had lived at different address in </w:t>
      </w:r>
      <w:proofErr w:type="spellStart"/>
      <w:r w:rsidR="004D5B40" w:rsidRPr="00DE7843">
        <w:rPr>
          <w:rFonts w:ascii="Century Gothic" w:hAnsi="Century Gothic"/>
          <w:sz w:val="21"/>
          <w:szCs w:val="21"/>
        </w:rPr>
        <w:t>Aotearoa</w:t>
      </w:r>
      <w:proofErr w:type="spellEnd"/>
      <w:r w:rsidR="004D5B40" w:rsidRPr="00DE7843">
        <w:rPr>
          <w:rFonts w:ascii="Century Gothic" w:hAnsi="Century Gothic"/>
          <w:sz w:val="21"/>
          <w:szCs w:val="21"/>
        </w:rPr>
        <w:t xml:space="preserve"> five years earlier. </w:t>
      </w:r>
      <w:proofErr w:type="spellStart"/>
      <w:r w:rsidR="000B60A9" w:rsidRPr="00DE7843">
        <w:rPr>
          <w:rFonts w:ascii="Century Gothic" w:hAnsi="Century Gothic"/>
          <w:sz w:val="21"/>
          <w:szCs w:val="21"/>
        </w:rPr>
        <w:t>Te</w:t>
      </w:r>
      <w:proofErr w:type="spellEnd"/>
      <w:r w:rsidR="000B60A9" w:rsidRPr="00DE7843">
        <w:rPr>
          <w:rFonts w:ascii="Century Gothic" w:hAnsi="Century Gothic"/>
          <w:sz w:val="21"/>
          <w:szCs w:val="21"/>
        </w:rPr>
        <w:t xml:space="preserve"> reo Māori</w:t>
      </w:r>
      <w:r w:rsidR="004D5B40" w:rsidRPr="00DE7843">
        <w:rPr>
          <w:rFonts w:ascii="Century Gothic" w:hAnsi="Century Gothic"/>
          <w:sz w:val="21"/>
          <w:szCs w:val="21"/>
        </w:rPr>
        <w:t xml:space="preserve"> speakers of Māori descent were more likely to move address (49.2 per cent), reflecting the higher levels of mobility within the Māori descent population overall compared to </w:t>
      </w:r>
      <w:proofErr w:type="spellStart"/>
      <w:r w:rsidR="004D5B40" w:rsidRPr="00DE7843">
        <w:rPr>
          <w:rFonts w:ascii="Century Gothic" w:hAnsi="Century Gothic"/>
          <w:sz w:val="21"/>
          <w:szCs w:val="21"/>
        </w:rPr>
        <w:t>Ngāi</w:t>
      </w:r>
      <w:proofErr w:type="spellEnd"/>
      <w:r w:rsidR="004D5B40" w:rsidRPr="00DE7843">
        <w:rPr>
          <w:rFonts w:ascii="Century Gothic" w:hAnsi="Century Gothic"/>
          <w:sz w:val="21"/>
          <w:szCs w:val="21"/>
        </w:rPr>
        <w:t xml:space="preserve"> </w:t>
      </w:r>
      <w:proofErr w:type="spellStart"/>
      <w:r w:rsidR="004D5B40" w:rsidRPr="00DE7843">
        <w:rPr>
          <w:rFonts w:ascii="Century Gothic" w:hAnsi="Century Gothic"/>
          <w:sz w:val="21"/>
          <w:szCs w:val="21"/>
        </w:rPr>
        <w:t>Tāmanuhiri</w:t>
      </w:r>
      <w:proofErr w:type="spellEnd"/>
      <w:r w:rsidR="004D5B40" w:rsidRPr="00DE7843">
        <w:rPr>
          <w:rFonts w:ascii="Century Gothic" w:hAnsi="Century Gothic"/>
          <w:sz w:val="21"/>
          <w:szCs w:val="21"/>
        </w:rPr>
        <w:t>.</w:t>
      </w:r>
    </w:p>
    <w:p w14:paraId="53DFD9A0" w14:textId="0BACA458" w:rsidR="004F70A1" w:rsidRDefault="004F70A1" w:rsidP="00CD1702">
      <w:pPr>
        <w:spacing w:after="0" w:line="360" w:lineRule="auto"/>
        <w:rPr>
          <w:rFonts w:ascii="Century Gothic" w:hAnsi="Century Gothic"/>
          <w:b/>
          <w:bCs/>
          <w:color w:val="44546A"/>
          <w:sz w:val="20"/>
          <w:szCs w:val="20"/>
        </w:rPr>
      </w:pPr>
    </w:p>
    <w:p w14:paraId="1EADC36C" w14:textId="7B70DA5D" w:rsidR="00CA2F76" w:rsidRDefault="00DB3C10" w:rsidP="00CD1702">
      <w:pPr>
        <w:spacing w:after="0" w:line="276" w:lineRule="auto"/>
        <w:rPr>
          <w:rFonts w:ascii="Century Gothic" w:hAnsi="Century Gothic"/>
          <w:b/>
          <w:bCs/>
          <w:color w:val="44546A"/>
          <w:sz w:val="20"/>
          <w:szCs w:val="20"/>
        </w:rPr>
      </w:pPr>
      <w:bookmarkStart w:id="33" w:name="_Toc491783072"/>
      <w:r w:rsidRPr="00DB3C10">
        <w:rPr>
          <w:noProof/>
        </w:rPr>
        <w:lastRenderedPageBreak/>
        <w:drawing>
          <wp:anchor distT="0" distB="0" distL="114300" distR="114300" simplePos="0" relativeHeight="252350464" behindDoc="1" locked="0" layoutInCell="1" allowOverlap="1" wp14:anchorId="1012E65B" wp14:editId="0DF74E79">
            <wp:simplePos x="0" y="0"/>
            <wp:positionH relativeFrom="column">
              <wp:posOffset>3175</wp:posOffset>
            </wp:positionH>
            <wp:positionV relativeFrom="paragraph">
              <wp:posOffset>487680</wp:posOffset>
            </wp:positionV>
            <wp:extent cx="5997575" cy="2868930"/>
            <wp:effectExtent l="0" t="0" r="3175" b="7620"/>
            <wp:wrapTight wrapText="bothSides">
              <wp:wrapPolygon edited="0">
                <wp:start x="0" y="0"/>
                <wp:lineTo x="0" y="21514"/>
                <wp:lineTo x="21543" y="21514"/>
                <wp:lineTo x="21543"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97575" cy="2868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2F76" w:rsidRPr="00DF212D">
        <w:rPr>
          <w:rFonts w:ascii="Century Gothic" w:hAnsi="Century Gothic"/>
          <w:b/>
          <w:bCs/>
          <w:color w:val="44546A"/>
          <w:sz w:val="20"/>
          <w:szCs w:val="20"/>
        </w:rPr>
        <w:t xml:space="preserve">Figure </w:t>
      </w:r>
      <w:r w:rsidR="00CA2F76">
        <w:rPr>
          <w:rFonts w:ascii="Century Gothic" w:hAnsi="Century Gothic"/>
          <w:b/>
          <w:bCs/>
          <w:color w:val="44546A"/>
          <w:sz w:val="20"/>
          <w:szCs w:val="20"/>
        </w:rPr>
        <w:fldChar w:fldCharType="begin"/>
      </w:r>
      <w:r w:rsidR="00CA2F76" w:rsidRPr="00DF212D">
        <w:rPr>
          <w:rFonts w:ascii="Century Gothic" w:hAnsi="Century Gothic"/>
          <w:b/>
          <w:bCs/>
          <w:color w:val="44546A"/>
          <w:sz w:val="20"/>
          <w:szCs w:val="20"/>
        </w:rPr>
        <w:instrText xml:space="preserve"> STYLEREF 1 \s </w:instrText>
      </w:r>
      <w:r w:rsidR="00CA2F76">
        <w:rPr>
          <w:rFonts w:ascii="Century Gothic" w:hAnsi="Century Gothic"/>
          <w:b/>
          <w:bCs/>
          <w:color w:val="44546A"/>
          <w:sz w:val="20"/>
          <w:szCs w:val="20"/>
        </w:rPr>
        <w:fldChar w:fldCharType="separate"/>
      </w:r>
      <w:r w:rsidR="001470A9">
        <w:rPr>
          <w:rFonts w:ascii="Century Gothic" w:hAnsi="Century Gothic" w:hint="cs"/>
          <w:b/>
          <w:bCs/>
          <w:noProof/>
          <w:color w:val="44546A"/>
          <w:sz w:val="20"/>
          <w:szCs w:val="20"/>
          <w:cs/>
        </w:rPr>
        <w:t>‎</w:t>
      </w:r>
      <w:r w:rsidR="001470A9">
        <w:rPr>
          <w:rFonts w:ascii="Century Gothic" w:hAnsi="Century Gothic"/>
          <w:b/>
          <w:bCs/>
          <w:noProof/>
          <w:color w:val="44546A"/>
          <w:sz w:val="20"/>
          <w:szCs w:val="20"/>
        </w:rPr>
        <w:t>2</w:t>
      </w:r>
      <w:r w:rsidR="00CA2F76">
        <w:rPr>
          <w:rFonts w:ascii="Century Gothic" w:hAnsi="Century Gothic"/>
          <w:b/>
          <w:bCs/>
          <w:color w:val="44546A"/>
          <w:sz w:val="20"/>
          <w:szCs w:val="20"/>
        </w:rPr>
        <w:fldChar w:fldCharType="end"/>
      </w:r>
      <w:r w:rsidR="00CA2F76" w:rsidRPr="00DF212D">
        <w:rPr>
          <w:rFonts w:ascii="Century Gothic" w:hAnsi="Century Gothic"/>
          <w:b/>
          <w:bCs/>
          <w:color w:val="44546A"/>
          <w:sz w:val="20"/>
          <w:szCs w:val="20"/>
        </w:rPr>
        <w:t>.</w:t>
      </w:r>
      <w:r w:rsidR="00CA2F76">
        <w:rPr>
          <w:rFonts w:ascii="Century Gothic" w:hAnsi="Century Gothic"/>
          <w:b/>
          <w:bCs/>
          <w:color w:val="44546A"/>
          <w:sz w:val="20"/>
          <w:szCs w:val="20"/>
        </w:rPr>
        <w:fldChar w:fldCharType="begin"/>
      </w:r>
      <w:r w:rsidR="00CA2F76" w:rsidRPr="00DF212D">
        <w:rPr>
          <w:rFonts w:ascii="Century Gothic" w:hAnsi="Century Gothic"/>
          <w:b/>
          <w:bCs/>
          <w:color w:val="44546A"/>
          <w:sz w:val="20"/>
          <w:szCs w:val="20"/>
        </w:rPr>
        <w:instrText xml:space="preserve"> SEQ Figure \* ARABIC \s 1 </w:instrText>
      </w:r>
      <w:r w:rsidR="00CA2F76">
        <w:rPr>
          <w:rFonts w:ascii="Century Gothic" w:hAnsi="Century Gothic"/>
          <w:b/>
          <w:bCs/>
          <w:color w:val="44546A"/>
          <w:sz w:val="20"/>
          <w:szCs w:val="20"/>
        </w:rPr>
        <w:fldChar w:fldCharType="separate"/>
      </w:r>
      <w:r w:rsidR="001470A9">
        <w:rPr>
          <w:rFonts w:ascii="Century Gothic" w:hAnsi="Century Gothic"/>
          <w:b/>
          <w:bCs/>
          <w:noProof/>
          <w:color w:val="44546A"/>
          <w:sz w:val="20"/>
          <w:szCs w:val="20"/>
        </w:rPr>
        <w:t>4</w:t>
      </w:r>
      <w:r w:rsidR="00CA2F76">
        <w:rPr>
          <w:rFonts w:ascii="Century Gothic" w:hAnsi="Century Gothic"/>
          <w:b/>
          <w:bCs/>
          <w:color w:val="44546A"/>
          <w:sz w:val="20"/>
          <w:szCs w:val="20"/>
        </w:rPr>
        <w:fldChar w:fldCharType="end"/>
      </w:r>
      <w:r w:rsidR="00CA2F76" w:rsidRPr="00DF212D">
        <w:rPr>
          <w:rFonts w:ascii="Century Gothic" w:hAnsi="Century Gothic"/>
          <w:b/>
          <w:bCs/>
          <w:color w:val="44546A"/>
          <w:sz w:val="20"/>
          <w:szCs w:val="20"/>
        </w:rPr>
        <w:t xml:space="preserve"> </w:t>
      </w:r>
      <w:r>
        <w:rPr>
          <w:rFonts w:ascii="Century Gothic" w:hAnsi="Century Gothic"/>
          <w:b/>
          <w:bCs/>
          <w:color w:val="44546A"/>
          <w:sz w:val="20"/>
          <w:szCs w:val="20"/>
        </w:rPr>
        <w:t>U</w:t>
      </w:r>
      <w:r w:rsidR="00CA2F76">
        <w:rPr>
          <w:rFonts w:ascii="Century Gothic" w:hAnsi="Century Gothic"/>
          <w:b/>
          <w:bCs/>
          <w:color w:val="44546A"/>
          <w:sz w:val="20"/>
          <w:szCs w:val="20"/>
        </w:rPr>
        <w:t>sual residence five years ago as recorded at the 2013 Census</w:t>
      </w:r>
      <w:r>
        <w:rPr>
          <w:rFonts w:ascii="Century Gothic" w:hAnsi="Century Gothic"/>
          <w:b/>
          <w:bCs/>
          <w:color w:val="44546A"/>
          <w:sz w:val="20"/>
          <w:szCs w:val="20"/>
        </w:rPr>
        <w:t xml:space="preserve"> for </w:t>
      </w:r>
      <w:proofErr w:type="spellStart"/>
      <w:r w:rsidR="00CD1702">
        <w:rPr>
          <w:rFonts w:ascii="Century Gothic" w:hAnsi="Century Gothic"/>
          <w:b/>
          <w:bCs/>
          <w:color w:val="44546A"/>
          <w:sz w:val="20"/>
          <w:szCs w:val="20"/>
        </w:rPr>
        <w:t>t</w:t>
      </w:r>
      <w:r w:rsidR="000B60A9">
        <w:rPr>
          <w:rFonts w:ascii="Century Gothic" w:hAnsi="Century Gothic"/>
          <w:b/>
          <w:bCs/>
          <w:color w:val="44546A"/>
          <w:sz w:val="20"/>
          <w:szCs w:val="20"/>
        </w:rPr>
        <w:t>e</w:t>
      </w:r>
      <w:proofErr w:type="spellEnd"/>
      <w:r w:rsidR="000B60A9">
        <w:rPr>
          <w:rFonts w:ascii="Century Gothic" w:hAnsi="Century Gothic"/>
          <w:b/>
          <w:bCs/>
          <w:color w:val="44546A"/>
          <w:sz w:val="20"/>
          <w:szCs w:val="20"/>
        </w:rPr>
        <w:t xml:space="preserve"> reo Māori</w:t>
      </w:r>
      <w:r>
        <w:rPr>
          <w:rFonts w:ascii="Century Gothic" w:hAnsi="Century Gothic"/>
          <w:b/>
          <w:bCs/>
          <w:color w:val="44546A"/>
          <w:sz w:val="20"/>
          <w:szCs w:val="20"/>
        </w:rPr>
        <w:t xml:space="preserve"> speakers</w:t>
      </w:r>
      <w:r w:rsidR="00CA2F76">
        <w:rPr>
          <w:rFonts w:ascii="Century Gothic" w:hAnsi="Century Gothic"/>
          <w:b/>
          <w:bCs/>
          <w:color w:val="44546A"/>
          <w:sz w:val="20"/>
          <w:szCs w:val="20"/>
        </w:rPr>
        <w:t xml:space="preserve">; </w:t>
      </w:r>
      <w:proofErr w:type="spellStart"/>
      <w:r w:rsidR="008B1B8A">
        <w:rPr>
          <w:rFonts w:ascii="Century Gothic" w:hAnsi="Century Gothic"/>
          <w:b/>
          <w:bCs/>
          <w:color w:val="44546A"/>
          <w:sz w:val="20"/>
          <w:szCs w:val="20"/>
        </w:rPr>
        <w:t>Ngāi</w:t>
      </w:r>
      <w:proofErr w:type="spellEnd"/>
      <w:r w:rsidR="00CA2F76" w:rsidRPr="00DF212D">
        <w:rPr>
          <w:rFonts w:ascii="Century Gothic" w:hAnsi="Century Gothic"/>
          <w:b/>
          <w:bCs/>
          <w:color w:val="44546A"/>
          <w:sz w:val="20"/>
          <w:szCs w:val="20"/>
        </w:rPr>
        <w:t xml:space="preserve"> </w:t>
      </w:r>
      <w:proofErr w:type="spellStart"/>
      <w:r w:rsidR="00CA2F76" w:rsidRPr="00DF212D">
        <w:rPr>
          <w:rFonts w:ascii="Century Gothic" w:hAnsi="Century Gothic"/>
          <w:b/>
          <w:bCs/>
          <w:color w:val="44546A"/>
          <w:sz w:val="20"/>
          <w:szCs w:val="20"/>
        </w:rPr>
        <w:t>Tāmanuhiri</w:t>
      </w:r>
      <w:proofErr w:type="spellEnd"/>
      <w:r w:rsidR="001103A8">
        <w:rPr>
          <w:rFonts w:ascii="Century Gothic" w:hAnsi="Century Gothic"/>
          <w:b/>
          <w:bCs/>
          <w:color w:val="44546A"/>
          <w:sz w:val="20"/>
          <w:szCs w:val="20"/>
        </w:rPr>
        <w:t xml:space="preserve"> </w:t>
      </w:r>
      <w:r w:rsidR="00CA2F76">
        <w:rPr>
          <w:rFonts w:ascii="Century Gothic" w:hAnsi="Century Gothic"/>
          <w:b/>
          <w:bCs/>
          <w:color w:val="44546A"/>
          <w:sz w:val="20"/>
          <w:szCs w:val="20"/>
        </w:rPr>
        <w:t xml:space="preserve">and the </w:t>
      </w:r>
      <w:r w:rsidR="00CD1702">
        <w:rPr>
          <w:rFonts w:ascii="Century Gothic" w:hAnsi="Century Gothic"/>
          <w:b/>
          <w:bCs/>
          <w:color w:val="44546A"/>
          <w:sz w:val="20"/>
          <w:szCs w:val="20"/>
        </w:rPr>
        <w:t>Māori</w:t>
      </w:r>
      <w:r w:rsidR="00CA2F76">
        <w:rPr>
          <w:rFonts w:ascii="Century Gothic" w:hAnsi="Century Gothic"/>
          <w:b/>
          <w:bCs/>
          <w:color w:val="44546A"/>
          <w:sz w:val="20"/>
          <w:szCs w:val="20"/>
        </w:rPr>
        <w:t xml:space="preserve"> descent population</w:t>
      </w:r>
      <w:bookmarkEnd w:id="33"/>
    </w:p>
    <w:p w14:paraId="1E4EC1FC" w14:textId="13BFC693" w:rsidR="00CA2F76" w:rsidRDefault="00CA2F76" w:rsidP="00CD1702">
      <w:pPr>
        <w:spacing w:after="0" w:line="360" w:lineRule="auto"/>
        <w:rPr>
          <w:rFonts w:ascii="Century Gothic" w:hAnsi="Century Gothic"/>
          <w:b/>
          <w:bCs/>
          <w:color w:val="44546A"/>
          <w:sz w:val="20"/>
          <w:szCs w:val="20"/>
        </w:rPr>
      </w:pPr>
    </w:p>
    <w:p w14:paraId="315253ED" w14:textId="77777777" w:rsidR="00CD1702" w:rsidRDefault="004D5B40" w:rsidP="00CD1702">
      <w:pPr>
        <w:spacing w:after="0" w:line="360" w:lineRule="auto"/>
        <w:rPr>
          <w:rFonts w:ascii="Century Gothic" w:hAnsi="Century Gothic"/>
          <w:sz w:val="21"/>
          <w:szCs w:val="21"/>
        </w:rPr>
      </w:pPr>
      <w:r w:rsidRPr="00DE7843">
        <w:rPr>
          <w:rFonts w:ascii="Century Gothic" w:hAnsi="Century Gothic"/>
          <w:sz w:val="21"/>
          <w:szCs w:val="21"/>
        </w:rPr>
        <w:t xml:space="preserve">Finally, we look at levels of mobility among </w:t>
      </w:r>
      <w:proofErr w:type="spellStart"/>
      <w:r w:rsidRPr="00DE7843">
        <w:rPr>
          <w:rFonts w:ascii="Century Gothic" w:hAnsi="Century Gothic"/>
          <w:sz w:val="21"/>
          <w:szCs w:val="21"/>
        </w:rPr>
        <w:t>Ngāi</w:t>
      </w:r>
      <w:proofErr w:type="spellEnd"/>
      <w:r w:rsidRPr="00DE7843">
        <w:rPr>
          <w:rFonts w:ascii="Century Gothic" w:hAnsi="Century Gothic"/>
          <w:sz w:val="21"/>
          <w:szCs w:val="21"/>
        </w:rPr>
        <w:t xml:space="preserve"> </w:t>
      </w:r>
      <w:proofErr w:type="spellStart"/>
      <w:r w:rsidRPr="00DE7843">
        <w:rPr>
          <w:rFonts w:ascii="Century Gothic" w:hAnsi="Century Gothic"/>
          <w:sz w:val="21"/>
          <w:szCs w:val="21"/>
        </w:rPr>
        <w:t>Tāmanuhiri</w:t>
      </w:r>
      <w:proofErr w:type="spellEnd"/>
      <w:r w:rsidRPr="00DE7843">
        <w:rPr>
          <w:rFonts w:ascii="Century Gothic" w:hAnsi="Century Gothic"/>
          <w:sz w:val="21"/>
          <w:szCs w:val="21"/>
        </w:rPr>
        <w:t xml:space="preserve"> speakers, depending on whether they lived in </w:t>
      </w:r>
      <w:proofErr w:type="spellStart"/>
      <w:r w:rsidRPr="00DE7843">
        <w:rPr>
          <w:rFonts w:ascii="Century Gothic" w:hAnsi="Century Gothic"/>
          <w:sz w:val="21"/>
          <w:szCs w:val="21"/>
        </w:rPr>
        <w:t>Gisborne</w:t>
      </w:r>
      <w:proofErr w:type="spellEnd"/>
      <w:r w:rsidRPr="00DE7843">
        <w:rPr>
          <w:rFonts w:ascii="Century Gothic" w:hAnsi="Century Gothic"/>
          <w:sz w:val="21"/>
          <w:szCs w:val="21"/>
        </w:rPr>
        <w:t xml:space="preserve"> or elsewhere in </w:t>
      </w:r>
      <w:proofErr w:type="spellStart"/>
      <w:r w:rsidRPr="00DE7843">
        <w:rPr>
          <w:rFonts w:ascii="Century Gothic" w:hAnsi="Century Gothic"/>
          <w:sz w:val="21"/>
          <w:szCs w:val="21"/>
        </w:rPr>
        <w:t>Aotearoa</w:t>
      </w:r>
      <w:proofErr w:type="spellEnd"/>
      <w:r w:rsidRPr="00DE7843">
        <w:rPr>
          <w:rFonts w:ascii="Century Gothic" w:hAnsi="Century Gothic"/>
          <w:sz w:val="21"/>
          <w:szCs w:val="21"/>
        </w:rPr>
        <w:t xml:space="preserve">. </w:t>
      </w:r>
      <w:r w:rsidR="00771C80" w:rsidRPr="00DE7843">
        <w:rPr>
          <w:rFonts w:ascii="Century Gothic" w:hAnsi="Century Gothic"/>
          <w:sz w:val="21"/>
          <w:szCs w:val="21"/>
        </w:rPr>
        <w:t xml:space="preserve">As expected, </w:t>
      </w:r>
      <w:proofErr w:type="spellStart"/>
      <w:proofErr w:type="gramStart"/>
      <w:r w:rsidR="001B0EEC" w:rsidRPr="00DE7843">
        <w:rPr>
          <w:rFonts w:ascii="Century Gothic" w:hAnsi="Century Gothic"/>
          <w:sz w:val="21"/>
          <w:szCs w:val="21"/>
        </w:rPr>
        <w:t>t</w:t>
      </w:r>
      <w:r w:rsidR="000B60A9" w:rsidRPr="00DE7843">
        <w:rPr>
          <w:rFonts w:ascii="Century Gothic" w:hAnsi="Century Gothic"/>
          <w:sz w:val="21"/>
          <w:szCs w:val="21"/>
        </w:rPr>
        <w:t>e</w:t>
      </w:r>
      <w:proofErr w:type="spellEnd"/>
      <w:proofErr w:type="gramEnd"/>
      <w:r w:rsidR="000B60A9" w:rsidRPr="00DE7843">
        <w:rPr>
          <w:rFonts w:ascii="Century Gothic" w:hAnsi="Century Gothic"/>
          <w:sz w:val="21"/>
          <w:szCs w:val="21"/>
        </w:rPr>
        <w:t xml:space="preserve"> reo Māori</w:t>
      </w:r>
      <w:r w:rsidR="00771C80" w:rsidRPr="00DE7843">
        <w:rPr>
          <w:rFonts w:ascii="Century Gothic" w:hAnsi="Century Gothic"/>
          <w:sz w:val="21"/>
          <w:szCs w:val="21"/>
        </w:rPr>
        <w:t xml:space="preserve"> speakers living in </w:t>
      </w:r>
      <w:proofErr w:type="spellStart"/>
      <w:r w:rsidR="00771C80" w:rsidRPr="00DE7843">
        <w:rPr>
          <w:rFonts w:ascii="Century Gothic" w:hAnsi="Century Gothic"/>
          <w:sz w:val="21"/>
          <w:szCs w:val="21"/>
        </w:rPr>
        <w:t>Gisborne</w:t>
      </w:r>
      <w:proofErr w:type="spellEnd"/>
      <w:r w:rsidR="000E7F08" w:rsidRPr="00DE7843">
        <w:rPr>
          <w:rFonts w:ascii="Century Gothic" w:hAnsi="Century Gothic"/>
          <w:sz w:val="21"/>
          <w:szCs w:val="21"/>
        </w:rPr>
        <w:t xml:space="preserve"> in 2013 </w:t>
      </w:r>
      <w:r w:rsidR="00771C80" w:rsidRPr="00DE7843">
        <w:rPr>
          <w:rFonts w:ascii="Century Gothic" w:hAnsi="Century Gothic"/>
          <w:sz w:val="21"/>
          <w:szCs w:val="21"/>
        </w:rPr>
        <w:t>were less likely to have moved in the past five years compared to thos</w:t>
      </w:r>
      <w:r w:rsidR="00CD1702">
        <w:rPr>
          <w:rFonts w:ascii="Century Gothic" w:hAnsi="Century Gothic"/>
          <w:sz w:val="21"/>
          <w:szCs w:val="21"/>
        </w:rPr>
        <w:t xml:space="preserve">e living elsewhere in the </w:t>
      </w:r>
      <w:proofErr w:type="spellStart"/>
      <w:r w:rsidR="00CD1702">
        <w:rPr>
          <w:rFonts w:ascii="Century Gothic" w:hAnsi="Century Gothic"/>
          <w:sz w:val="21"/>
          <w:szCs w:val="21"/>
        </w:rPr>
        <w:t>motu</w:t>
      </w:r>
      <w:proofErr w:type="spellEnd"/>
      <w:r w:rsidR="00CD1702">
        <w:rPr>
          <w:rFonts w:ascii="Century Gothic" w:hAnsi="Century Gothic"/>
          <w:sz w:val="21"/>
          <w:szCs w:val="21"/>
        </w:rPr>
        <w:t>.</w:t>
      </w:r>
    </w:p>
    <w:p w14:paraId="78C07083" w14:textId="77777777" w:rsidR="00995709" w:rsidRDefault="00995709" w:rsidP="00CD1702">
      <w:pPr>
        <w:spacing w:after="0" w:line="360" w:lineRule="auto"/>
        <w:rPr>
          <w:rFonts w:ascii="Century Gothic" w:hAnsi="Century Gothic"/>
          <w:sz w:val="21"/>
          <w:szCs w:val="21"/>
        </w:rPr>
      </w:pPr>
    </w:p>
    <w:p w14:paraId="01DDE02E" w14:textId="3E6A7DAB" w:rsidR="002F1D8B" w:rsidRPr="00DE7843" w:rsidRDefault="00771C80" w:rsidP="00CD1702">
      <w:pPr>
        <w:spacing w:after="0" w:line="360" w:lineRule="auto"/>
        <w:rPr>
          <w:rFonts w:ascii="Century Gothic" w:hAnsi="Century Gothic"/>
          <w:sz w:val="21"/>
          <w:szCs w:val="21"/>
        </w:rPr>
      </w:pPr>
      <w:r w:rsidRPr="00DE7843">
        <w:rPr>
          <w:rFonts w:ascii="Century Gothic" w:hAnsi="Century Gothic"/>
          <w:sz w:val="21"/>
          <w:szCs w:val="21"/>
        </w:rPr>
        <w:t xml:space="preserve">The comparatively high levels of stability within the </w:t>
      </w:r>
      <w:proofErr w:type="spellStart"/>
      <w:r w:rsidRPr="00DE7843">
        <w:rPr>
          <w:rFonts w:ascii="Century Gothic" w:hAnsi="Century Gothic"/>
          <w:sz w:val="21"/>
          <w:szCs w:val="21"/>
        </w:rPr>
        <w:t>Ngāi</w:t>
      </w:r>
      <w:proofErr w:type="spellEnd"/>
      <w:r w:rsidRPr="00DE7843">
        <w:rPr>
          <w:rFonts w:ascii="Century Gothic" w:hAnsi="Century Gothic"/>
          <w:sz w:val="21"/>
          <w:szCs w:val="21"/>
        </w:rPr>
        <w:t xml:space="preserve"> </w:t>
      </w:r>
      <w:proofErr w:type="spellStart"/>
      <w:r w:rsidRPr="00DE7843">
        <w:rPr>
          <w:rFonts w:ascii="Century Gothic" w:hAnsi="Century Gothic"/>
          <w:sz w:val="21"/>
          <w:szCs w:val="21"/>
        </w:rPr>
        <w:t>Tāmanuhiri</w:t>
      </w:r>
      <w:proofErr w:type="spellEnd"/>
      <w:r w:rsidRPr="00DE7843">
        <w:rPr>
          <w:rFonts w:ascii="Century Gothic" w:hAnsi="Century Gothic"/>
          <w:sz w:val="21"/>
          <w:szCs w:val="21"/>
        </w:rPr>
        <w:t xml:space="preserve"> </w:t>
      </w:r>
      <w:proofErr w:type="spellStart"/>
      <w:r w:rsidR="001B0EEC" w:rsidRPr="00DE7843">
        <w:rPr>
          <w:rFonts w:ascii="Century Gothic" w:hAnsi="Century Gothic"/>
          <w:sz w:val="21"/>
          <w:szCs w:val="21"/>
        </w:rPr>
        <w:t>t</w:t>
      </w:r>
      <w:r w:rsidR="000B60A9" w:rsidRPr="00DE7843">
        <w:rPr>
          <w:rFonts w:ascii="Century Gothic" w:hAnsi="Century Gothic"/>
          <w:sz w:val="21"/>
          <w:szCs w:val="21"/>
        </w:rPr>
        <w:t>e</w:t>
      </w:r>
      <w:proofErr w:type="spellEnd"/>
      <w:r w:rsidR="000B60A9" w:rsidRPr="00DE7843">
        <w:rPr>
          <w:rFonts w:ascii="Century Gothic" w:hAnsi="Century Gothic"/>
          <w:sz w:val="21"/>
          <w:szCs w:val="21"/>
        </w:rPr>
        <w:t xml:space="preserve"> reo Māori</w:t>
      </w:r>
      <w:r w:rsidRPr="00DE7843">
        <w:rPr>
          <w:rFonts w:ascii="Century Gothic" w:hAnsi="Century Gothic"/>
          <w:sz w:val="21"/>
          <w:szCs w:val="21"/>
        </w:rPr>
        <w:t xml:space="preserve"> speaking population in </w:t>
      </w:r>
      <w:proofErr w:type="spellStart"/>
      <w:r w:rsidRPr="00DE7843">
        <w:rPr>
          <w:rFonts w:ascii="Century Gothic" w:hAnsi="Century Gothic"/>
          <w:sz w:val="21"/>
          <w:szCs w:val="21"/>
        </w:rPr>
        <w:t>Gisborne</w:t>
      </w:r>
      <w:proofErr w:type="spellEnd"/>
      <w:r w:rsidRPr="00DE7843">
        <w:rPr>
          <w:rFonts w:ascii="Century Gothic" w:hAnsi="Century Gothic"/>
          <w:sz w:val="21"/>
          <w:szCs w:val="21"/>
        </w:rPr>
        <w:t xml:space="preserve"> is an advantage in the context of initiatives to strengthen </w:t>
      </w:r>
      <w:proofErr w:type="spellStart"/>
      <w:r w:rsidR="001B0EEC" w:rsidRPr="00DE7843">
        <w:rPr>
          <w:rFonts w:ascii="Century Gothic" w:hAnsi="Century Gothic"/>
          <w:sz w:val="21"/>
          <w:szCs w:val="21"/>
        </w:rPr>
        <w:t>t</w:t>
      </w:r>
      <w:r w:rsidR="000B60A9" w:rsidRPr="00DE7843">
        <w:rPr>
          <w:rFonts w:ascii="Century Gothic" w:hAnsi="Century Gothic"/>
          <w:sz w:val="21"/>
          <w:szCs w:val="21"/>
        </w:rPr>
        <w:t>e</w:t>
      </w:r>
      <w:proofErr w:type="spellEnd"/>
      <w:r w:rsidR="000B60A9" w:rsidRPr="00DE7843">
        <w:rPr>
          <w:rFonts w:ascii="Century Gothic" w:hAnsi="Century Gothic"/>
          <w:sz w:val="21"/>
          <w:szCs w:val="21"/>
        </w:rPr>
        <w:t xml:space="preserve"> reo </w:t>
      </w:r>
      <w:r w:rsidRPr="00DE7843">
        <w:rPr>
          <w:rFonts w:ascii="Century Gothic" w:hAnsi="Century Gothic"/>
          <w:sz w:val="21"/>
          <w:szCs w:val="21"/>
        </w:rPr>
        <w:t xml:space="preserve">within </w:t>
      </w:r>
      <w:proofErr w:type="spellStart"/>
      <w:r w:rsidRPr="00DE7843">
        <w:rPr>
          <w:rFonts w:ascii="Century Gothic" w:hAnsi="Century Gothic"/>
          <w:sz w:val="21"/>
          <w:szCs w:val="21"/>
        </w:rPr>
        <w:t>whānau</w:t>
      </w:r>
      <w:proofErr w:type="spellEnd"/>
      <w:r w:rsidRPr="00DE7843">
        <w:rPr>
          <w:rFonts w:ascii="Century Gothic" w:hAnsi="Century Gothic"/>
          <w:sz w:val="21"/>
          <w:szCs w:val="21"/>
        </w:rPr>
        <w:t xml:space="preserve">, </w:t>
      </w:r>
      <w:proofErr w:type="spellStart"/>
      <w:r w:rsidRPr="00DE7843">
        <w:rPr>
          <w:rFonts w:ascii="Century Gothic" w:hAnsi="Century Gothic"/>
          <w:sz w:val="21"/>
          <w:szCs w:val="21"/>
        </w:rPr>
        <w:t>kura</w:t>
      </w:r>
      <w:proofErr w:type="spellEnd"/>
      <w:r w:rsidRPr="00DE7843">
        <w:rPr>
          <w:rFonts w:ascii="Century Gothic" w:hAnsi="Century Gothic"/>
          <w:sz w:val="21"/>
          <w:szCs w:val="21"/>
        </w:rPr>
        <w:t xml:space="preserve"> and communities. These efforts can be challenging to implement when there is a high degree of population ‘churn’ arising from </w:t>
      </w:r>
      <w:r w:rsidR="000E7F08" w:rsidRPr="00DE7843">
        <w:rPr>
          <w:rFonts w:ascii="Century Gothic" w:hAnsi="Century Gothic"/>
          <w:sz w:val="21"/>
          <w:szCs w:val="21"/>
        </w:rPr>
        <w:t>frequent moving</w:t>
      </w:r>
      <w:r w:rsidRPr="00DE7843">
        <w:rPr>
          <w:rFonts w:ascii="Century Gothic" w:hAnsi="Century Gothic"/>
          <w:sz w:val="21"/>
          <w:szCs w:val="21"/>
        </w:rPr>
        <w:t xml:space="preserve">. </w:t>
      </w:r>
      <w:r w:rsidR="000E7F08" w:rsidRPr="00DE7843">
        <w:rPr>
          <w:rFonts w:ascii="Century Gothic" w:hAnsi="Century Gothic"/>
          <w:sz w:val="21"/>
          <w:szCs w:val="21"/>
        </w:rPr>
        <w:t xml:space="preserve">The data here are fairly rudimentary in that they do not account for net mobility (i.e., individual flows in and out), nor multiple moves within a five year period. The analysis is further complicated by the addition of ‘new’ affiliates who moved into the iwi population through changing their self-identification. </w:t>
      </w:r>
    </w:p>
    <w:p w14:paraId="3FA7977E" w14:textId="77777777" w:rsidR="002F1D8B" w:rsidRPr="00DE7843" w:rsidRDefault="002F1D8B" w:rsidP="00933168">
      <w:pPr>
        <w:spacing w:after="0" w:line="360" w:lineRule="auto"/>
        <w:rPr>
          <w:rFonts w:ascii="Century Gothic" w:hAnsi="Century Gothic"/>
          <w:sz w:val="21"/>
          <w:szCs w:val="21"/>
        </w:rPr>
      </w:pPr>
    </w:p>
    <w:p w14:paraId="792982AE" w14:textId="03D5CBD9" w:rsidR="004F70A1" w:rsidRPr="00DE7843" w:rsidRDefault="002F1D8B" w:rsidP="001B0EEC">
      <w:pPr>
        <w:spacing w:after="0" w:line="360" w:lineRule="auto"/>
        <w:rPr>
          <w:rFonts w:ascii="Century Gothic" w:hAnsi="Century Gothic"/>
          <w:sz w:val="21"/>
          <w:szCs w:val="21"/>
        </w:rPr>
      </w:pPr>
      <w:r w:rsidRPr="00DE7843">
        <w:rPr>
          <w:rFonts w:ascii="Century Gothic" w:hAnsi="Century Gothic"/>
          <w:sz w:val="21"/>
          <w:szCs w:val="21"/>
        </w:rPr>
        <w:t xml:space="preserve">Nevertheless, the analysis </w:t>
      </w:r>
      <w:r w:rsidR="000E7F08" w:rsidRPr="00DE7843">
        <w:rPr>
          <w:rFonts w:ascii="Century Gothic" w:hAnsi="Century Gothic"/>
          <w:sz w:val="21"/>
          <w:szCs w:val="21"/>
        </w:rPr>
        <w:t>suggest</w:t>
      </w:r>
      <w:r w:rsidRPr="00DE7843">
        <w:rPr>
          <w:rFonts w:ascii="Century Gothic" w:hAnsi="Century Gothic"/>
          <w:sz w:val="21"/>
          <w:szCs w:val="21"/>
        </w:rPr>
        <w:t>s</w:t>
      </w:r>
      <w:r w:rsidR="000E7F08" w:rsidRPr="00DE7843">
        <w:rPr>
          <w:rFonts w:ascii="Century Gothic" w:hAnsi="Century Gothic"/>
          <w:sz w:val="21"/>
          <w:szCs w:val="21"/>
        </w:rPr>
        <w:t xml:space="preserve"> </w:t>
      </w:r>
      <w:r w:rsidR="00771C80" w:rsidRPr="00DE7843">
        <w:rPr>
          <w:rFonts w:ascii="Century Gothic" w:hAnsi="Century Gothic"/>
          <w:sz w:val="21"/>
          <w:szCs w:val="21"/>
        </w:rPr>
        <w:t xml:space="preserve">that there is a sizeable ‘core’ stable population of </w:t>
      </w:r>
      <w:proofErr w:type="spellStart"/>
      <w:r w:rsidR="00771C80" w:rsidRPr="00DE7843">
        <w:rPr>
          <w:rFonts w:ascii="Century Gothic" w:hAnsi="Century Gothic"/>
          <w:sz w:val="21"/>
          <w:szCs w:val="21"/>
        </w:rPr>
        <w:t>Ngāi</w:t>
      </w:r>
      <w:proofErr w:type="spellEnd"/>
      <w:r w:rsidR="00771C80" w:rsidRPr="00DE7843">
        <w:rPr>
          <w:rFonts w:ascii="Century Gothic" w:hAnsi="Century Gothic"/>
          <w:sz w:val="21"/>
          <w:szCs w:val="21"/>
        </w:rPr>
        <w:t xml:space="preserve"> </w:t>
      </w:r>
      <w:proofErr w:type="spellStart"/>
      <w:r w:rsidR="00771C80" w:rsidRPr="00DE7843">
        <w:rPr>
          <w:rFonts w:ascii="Century Gothic" w:hAnsi="Century Gothic"/>
          <w:sz w:val="21"/>
          <w:szCs w:val="21"/>
        </w:rPr>
        <w:t>Tāmanuhiri</w:t>
      </w:r>
      <w:proofErr w:type="spellEnd"/>
      <w:r w:rsidR="00771C80" w:rsidRPr="00DE7843">
        <w:rPr>
          <w:rFonts w:ascii="Century Gothic" w:hAnsi="Century Gothic"/>
          <w:sz w:val="21"/>
          <w:szCs w:val="21"/>
        </w:rPr>
        <w:t xml:space="preserve"> speakers within </w:t>
      </w:r>
      <w:proofErr w:type="spellStart"/>
      <w:r w:rsidR="00771C80" w:rsidRPr="00DE7843">
        <w:rPr>
          <w:rFonts w:ascii="Century Gothic" w:hAnsi="Century Gothic"/>
          <w:sz w:val="21"/>
          <w:szCs w:val="21"/>
        </w:rPr>
        <w:t>Gisborne</w:t>
      </w:r>
      <w:proofErr w:type="spellEnd"/>
      <w:r w:rsidR="00771C80" w:rsidRPr="00DE7843">
        <w:rPr>
          <w:rFonts w:ascii="Century Gothic" w:hAnsi="Century Gothic"/>
          <w:sz w:val="21"/>
          <w:szCs w:val="21"/>
        </w:rPr>
        <w:t xml:space="preserve"> that the Trust can work </w:t>
      </w:r>
      <w:r w:rsidR="001B0EEC" w:rsidRPr="00DE7843">
        <w:rPr>
          <w:rFonts w:ascii="Century Gothic" w:hAnsi="Century Gothic"/>
          <w:sz w:val="21"/>
          <w:szCs w:val="21"/>
        </w:rPr>
        <w:t>with</w:t>
      </w:r>
      <w:r w:rsidR="00771C80" w:rsidRPr="00DE7843">
        <w:rPr>
          <w:rFonts w:ascii="Century Gothic" w:hAnsi="Century Gothic"/>
          <w:sz w:val="21"/>
          <w:szCs w:val="21"/>
        </w:rPr>
        <w:t>.</w:t>
      </w:r>
      <w:r w:rsidR="0017315F" w:rsidRPr="00933168">
        <w:rPr>
          <w:rFonts w:ascii="Century Gothic" w:hAnsi="Century Gothic"/>
          <w:sz w:val="21"/>
          <w:szCs w:val="21"/>
        </w:rPr>
        <w:t xml:space="preserve"> </w:t>
      </w:r>
      <w:r w:rsidR="0017315F" w:rsidRPr="00DE7843">
        <w:rPr>
          <w:rFonts w:ascii="Century Gothic" w:hAnsi="Century Gothic"/>
          <w:sz w:val="21"/>
          <w:szCs w:val="21"/>
        </w:rPr>
        <w:t xml:space="preserve">In 2013 there were </w:t>
      </w:r>
      <w:r w:rsidR="00D4608C" w:rsidRPr="00DE7843">
        <w:rPr>
          <w:rFonts w:ascii="Century Gothic" w:hAnsi="Century Gothic"/>
          <w:sz w:val="21"/>
          <w:szCs w:val="21"/>
        </w:rPr>
        <w:t>162</w:t>
      </w:r>
      <w:r w:rsidR="0017315F" w:rsidRPr="00DE7843">
        <w:rPr>
          <w:rFonts w:ascii="Century Gothic" w:hAnsi="Century Gothic"/>
          <w:sz w:val="21"/>
          <w:szCs w:val="21"/>
        </w:rPr>
        <w:t xml:space="preserve"> </w:t>
      </w:r>
      <w:proofErr w:type="spellStart"/>
      <w:r w:rsidR="0017315F" w:rsidRPr="00DE7843">
        <w:rPr>
          <w:rFonts w:ascii="Century Gothic" w:hAnsi="Century Gothic"/>
          <w:sz w:val="21"/>
          <w:szCs w:val="21"/>
        </w:rPr>
        <w:t>Ngāi</w:t>
      </w:r>
      <w:proofErr w:type="spellEnd"/>
      <w:r w:rsidR="0017315F" w:rsidRPr="00DE7843">
        <w:rPr>
          <w:rFonts w:ascii="Century Gothic" w:hAnsi="Century Gothic"/>
          <w:sz w:val="21"/>
          <w:szCs w:val="21"/>
        </w:rPr>
        <w:t xml:space="preserve"> </w:t>
      </w:r>
      <w:proofErr w:type="spellStart"/>
      <w:r w:rsidR="0017315F" w:rsidRPr="00DE7843">
        <w:rPr>
          <w:rFonts w:ascii="Century Gothic" w:hAnsi="Century Gothic"/>
          <w:sz w:val="21"/>
          <w:szCs w:val="21"/>
        </w:rPr>
        <w:t>Tāmanuhiri</w:t>
      </w:r>
      <w:proofErr w:type="spellEnd"/>
      <w:r w:rsidR="0017315F" w:rsidRPr="00DE7843">
        <w:rPr>
          <w:rFonts w:ascii="Century Gothic" w:hAnsi="Century Gothic"/>
          <w:sz w:val="21"/>
          <w:szCs w:val="21"/>
        </w:rPr>
        <w:t xml:space="preserve"> </w:t>
      </w:r>
      <w:proofErr w:type="spellStart"/>
      <w:proofErr w:type="gramStart"/>
      <w:r w:rsidR="00B44D8D" w:rsidRPr="00DE7843">
        <w:rPr>
          <w:rFonts w:ascii="Century Gothic" w:hAnsi="Century Gothic"/>
          <w:sz w:val="21"/>
          <w:szCs w:val="21"/>
        </w:rPr>
        <w:t>t</w:t>
      </w:r>
      <w:r w:rsidR="000B60A9" w:rsidRPr="00DE7843">
        <w:rPr>
          <w:rFonts w:ascii="Century Gothic" w:hAnsi="Century Gothic"/>
          <w:sz w:val="21"/>
          <w:szCs w:val="21"/>
        </w:rPr>
        <w:t>e</w:t>
      </w:r>
      <w:proofErr w:type="spellEnd"/>
      <w:proofErr w:type="gramEnd"/>
      <w:r w:rsidR="000B60A9" w:rsidRPr="00DE7843">
        <w:rPr>
          <w:rFonts w:ascii="Century Gothic" w:hAnsi="Century Gothic"/>
          <w:sz w:val="21"/>
          <w:szCs w:val="21"/>
        </w:rPr>
        <w:t xml:space="preserve"> reo Māori</w:t>
      </w:r>
      <w:r w:rsidR="0017315F" w:rsidRPr="00DE7843">
        <w:rPr>
          <w:rFonts w:ascii="Century Gothic" w:hAnsi="Century Gothic"/>
          <w:sz w:val="21"/>
          <w:szCs w:val="21"/>
        </w:rPr>
        <w:t xml:space="preserve"> speakers living in </w:t>
      </w:r>
      <w:proofErr w:type="spellStart"/>
      <w:r w:rsidR="0017315F" w:rsidRPr="00DE7843">
        <w:rPr>
          <w:rFonts w:ascii="Century Gothic" w:hAnsi="Century Gothic"/>
          <w:sz w:val="21"/>
          <w:szCs w:val="21"/>
        </w:rPr>
        <w:t>Gisborne</w:t>
      </w:r>
      <w:proofErr w:type="spellEnd"/>
      <w:r w:rsidR="0017315F" w:rsidRPr="00DE7843">
        <w:rPr>
          <w:rFonts w:ascii="Century Gothic" w:hAnsi="Century Gothic"/>
          <w:sz w:val="21"/>
          <w:szCs w:val="21"/>
        </w:rPr>
        <w:t xml:space="preserve"> Region who had not moved in the past five years</w:t>
      </w:r>
      <w:r w:rsidR="00D4608C" w:rsidRPr="00DE7843">
        <w:rPr>
          <w:rFonts w:ascii="Century Gothic" w:hAnsi="Century Gothic"/>
          <w:sz w:val="21"/>
          <w:szCs w:val="21"/>
        </w:rPr>
        <w:t xml:space="preserve"> (this excludes </w:t>
      </w:r>
      <w:proofErr w:type="spellStart"/>
      <w:r w:rsidR="00CD1702">
        <w:rPr>
          <w:rFonts w:ascii="Century Gothic" w:hAnsi="Century Gothic"/>
          <w:sz w:val="21"/>
          <w:szCs w:val="21"/>
        </w:rPr>
        <w:t>t</w:t>
      </w:r>
      <w:r w:rsidR="000B60A9" w:rsidRPr="00DE7843">
        <w:rPr>
          <w:rFonts w:ascii="Century Gothic" w:hAnsi="Century Gothic"/>
          <w:sz w:val="21"/>
          <w:szCs w:val="21"/>
        </w:rPr>
        <w:t>e</w:t>
      </w:r>
      <w:proofErr w:type="spellEnd"/>
      <w:r w:rsidR="000B60A9" w:rsidRPr="00DE7843">
        <w:rPr>
          <w:rFonts w:ascii="Century Gothic" w:hAnsi="Century Gothic"/>
          <w:sz w:val="21"/>
          <w:szCs w:val="21"/>
        </w:rPr>
        <w:t xml:space="preserve"> reo Māori</w:t>
      </w:r>
      <w:r w:rsidR="0017315F" w:rsidRPr="00DE7843">
        <w:rPr>
          <w:rFonts w:ascii="Century Gothic" w:hAnsi="Century Gothic"/>
          <w:sz w:val="21"/>
          <w:szCs w:val="21"/>
        </w:rPr>
        <w:t xml:space="preserve"> speakers under the age of five</w:t>
      </w:r>
      <w:r w:rsidR="00D4608C" w:rsidRPr="00DE7843">
        <w:rPr>
          <w:rFonts w:ascii="Century Gothic" w:hAnsi="Century Gothic"/>
          <w:sz w:val="21"/>
          <w:szCs w:val="21"/>
        </w:rPr>
        <w:t>)</w:t>
      </w:r>
      <w:r w:rsidR="0017315F" w:rsidRPr="00DE7843">
        <w:rPr>
          <w:rFonts w:ascii="Century Gothic" w:hAnsi="Century Gothic"/>
          <w:sz w:val="21"/>
          <w:szCs w:val="21"/>
        </w:rPr>
        <w:t>.</w:t>
      </w:r>
      <w:r w:rsidR="00D4608C" w:rsidRPr="00DE7843">
        <w:rPr>
          <w:rFonts w:ascii="Century Gothic" w:hAnsi="Century Gothic"/>
          <w:sz w:val="21"/>
          <w:szCs w:val="21"/>
        </w:rPr>
        <w:t xml:space="preserve"> In 2013, 99 </w:t>
      </w:r>
      <w:proofErr w:type="spellStart"/>
      <w:proofErr w:type="gramStart"/>
      <w:r w:rsidR="00B44D8D" w:rsidRPr="00DE7843">
        <w:rPr>
          <w:rFonts w:ascii="Century Gothic" w:hAnsi="Century Gothic"/>
          <w:sz w:val="21"/>
          <w:szCs w:val="21"/>
        </w:rPr>
        <w:t>t</w:t>
      </w:r>
      <w:r w:rsidR="000B60A9" w:rsidRPr="00DE7843">
        <w:rPr>
          <w:rFonts w:ascii="Century Gothic" w:hAnsi="Century Gothic"/>
          <w:sz w:val="21"/>
          <w:szCs w:val="21"/>
        </w:rPr>
        <w:t>e</w:t>
      </w:r>
      <w:proofErr w:type="spellEnd"/>
      <w:proofErr w:type="gramEnd"/>
      <w:r w:rsidR="000B60A9" w:rsidRPr="00DE7843">
        <w:rPr>
          <w:rFonts w:ascii="Century Gothic" w:hAnsi="Century Gothic"/>
          <w:sz w:val="21"/>
          <w:szCs w:val="21"/>
        </w:rPr>
        <w:t xml:space="preserve"> reo Māori</w:t>
      </w:r>
      <w:r w:rsidR="00D4608C" w:rsidRPr="00DE7843">
        <w:rPr>
          <w:rFonts w:ascii="Century Gothic" w:hAnsi="Century Gothic"/>
          <w:sz w:val="21"/>
          <w:szCs w:val="21"/>
        </w:rPr>
        <w:t xml:space="preserve"> speakers had moved into </w:t>
      </w:r>
      <w:proofErr w:type="spellStart"/>
      <w:r w:rsidR="00D4608C" w:rsidRPr="00DE7843">
        <w:rPr>
          <w:rFonts w:ascii="Century Gothic" w:hAnsi="Century Gothic"/>
          <w:sz w:val="21"/>
          <w:szCs w:val="21"/>
        </w:rPr>
        <w:t>Gisborne</w:t>
      </w:r>
      <w:proofErr w:type="spellEnd"/>
      <w:r w:rsidR="00D4608C" w:rsidRPr="00DE7843">
        <w:rPr>
          <w:rFonts w:ascii="Century Gothic" w:hAnsi="Century Gothic"/>
          <w:sz w:val="21"/>
          <w:szCs w:val="21"/>
        </w:rPr>
        <w:t xml:space="preserve"> from elsewhere; we cannot tell how many moved out of the region.</w:t>
      </w:r>
    </w:p>
    <w:p w14:paraId="19036B78" w14:textId="5B52E858" w:rsidR="004F70A1" w:rsidRDefault="004F70A1" w:rsidP="00CD1702">
      <w:pPr>
        <w:spacing w:after="0" w:line="360" w:lineRule="auto"/>
        <w:rPr>
          <w:rFonts w:ascii="Century Gothic" w:hAnsi="Century Gothic"/>
          <w:b/>
          <w:bCs/>
          <w:color w:val="44546A"/>
          <w:sz w:val="20"/>
          <w:szCs w:val="20"/>
        </w:rPr>
      </w:pPr>
    </w:p>
    <w:p w14:paraId="34D7CEDD" w14:textId="25F5814E" w:rsidR="004F70A1" w:rsidRDefault="00DB3C10" w:rsidP="001103A8">
      <w:pPr>
        <w:spacing w:after="0" w:line="276" w:lineRule="auto"/>
        <w:rPr>
          <w:rFonts w:ascii="Century Gothic" w:hAnsi="Century Gothic"/>
          <w:b/>
          <w:bCs/>
          <w:color w:val="44546A"/>
          <w:sz w:val="20"/>
          <w:szCs w:val="20"/>
        </w:rPr>
      </w:pPr>
      <w:bookmarkStart w:id="34" w:name="_Toc491783073"/>
      <w:r w:rsidRPr="00DB3C10">
        <w:rPr>
          <w:noProof/>
        </w:rPr>
        <w:lastRenderedPageBreak/>
        <w:drawing>
          <wp:anchor distT="0" distB="0" distL="114300" distR="114300" simplePos="0" relativeHeight="252351488" behindDoc="1" locked="0" layoutInCell="1" allowOverlap="1" wp14:anchorId="076096F5" wp14:editId="4B59BC41">
            <wp:simplePos x="0" y="0"/>
            <wp:positionH relativeFrom="column">
              <wp:posOffset>3175</wp:posOffset>
            </wp:positionH>
            <wp:positionV relativeFrom="paragraph">
              <wp:posOffset>500628</wp:posOffset>
            </wp:positionV>
            <wp:extent cx="5997600" cy="2869200"/>
            <wp:effectExtent l="0" t="0" r="3175" b="7620"/>
            <wp:wrapTight wrapText="bothSides">
              <wp:wrapPolygon edited="0">
                <wp:start x="0" y="0"/>
                <wp:lineTo x="0" y="21514"/>
                <wp:lineTo x="21543" y="21514"/>
                <wp:lineTo x="21543"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97600" cy="286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70A1" w:rsidRPr="00DF212D">
        <w:rPr>
          <w:rFonts w:ascii="Century Gothic" w:hAnsi="Century Gothic"/>
          <w:b/>
          <w:bCs/>
          <w:color w:val="44546A"/>
          <w:sz w:val="20"/>
          <w:szCs w:val="20"/>
        </w:rPr>
        <w:t xml:space="preserve">Figure </w:t>
      </w:r>
      <w:r w:rsidR="004F70A1">
        <w:rPr>
          <w:rFonts w:ascii="Century Gothic" w:hAnsi="Century Gothic"/>
          <w:b/>
          <w:bCs/>
          <w:color w:val="44546A"/>
          <w:sz w:val="20"/>
          <w:szCs w:val="20"/>
        </w:rPr>
        <w:fldChar w:fldCharType="begin"/>
      </w:r>
      <w:r w:rsidR="004F70A1" w:rsidRPr="00DF212D">
        <w:rPr>
          <w:rFonts w:ascii="Century Gothic" w:hAnsi="Century Gothic"/>
          <w:b/>
          <w:bCs/>
          <w:color w:val="44546A"/>
          <w:sz w:val="20"/>
          <w:szCs w:val="20"/>
        </w:rPr>
        <w:instrText xml:space="preserve"> STYLEREF 1 \s </w:instrText>
      </w:r>
      <w:r w:rsidR="004F70A1">
        <w:rPr>
          <w:rFonts w:ascii="Century Gothic" w:hAnsi="Century Gothic"/>
          <w:b/>
          <w:bCs/>
          <w:color w:val="44546A"/>
          <w:sz w:val="20"/>
          <w:szCs w:val="20"/>
        </w:rPr>
        <w:fldChar w:fldCharType="separate"/>
      </w:r>
      <w:r w:rsidR="001470A9">
        <w:rPr>
          <w:rFonts w:ascii="Century Gothic" w:hAnsi="Century Gothic" w:hint="cs"/>
          <w:b/>
          <w:bCs/>
          <w:noProof/>
          <w:color w:val="44546A"/>
          <w:sz w:val="20"/>
          <w:szCs w:val="20"/>
          <w:cs/>
        </w:rPr>
        <w:t>‎</w:t>
      </w:r>
      <w:r w:rsidR="001470A9">
        <w:rPr>
          <w:rFonts w:ascii="Century Gothic" w:hAnsi="Century Gothic"/>
          <w:b/>
          <w:bCs/>
          <w:noProof/>
          <w:color w:val="44546A"/>
          <w:sz w:val="20"/>
          <w:szCs w:val="20"/>
        </w:rPr>
        <w:t>2</w:t>
      </w:r>
      <w:r w:rsidR="004F70A1">
        <w:rPr>
          <w:rFonts w:ascii="Century Gothic" w:hAnsi="Century Gothic"/>
          <w:b/>
          <w:bCs/>
          <w:color w:val="44546A"/>
          <w:sz w:val="20"/>
          <w:szCs w:val="20"/>
        </w:rPr>
        <w:fldChar w:fldCharType="end"/>
      </w:r>
      <w:r w:rsidR="004F70A1" w:rsidRPr="00DF212D">
        <w:rPr>
          <w:rFonts w:ascii="Century Gothic" w:hAnsi="Century Gothic"/>
          <w:b/>
          <w:bCs/>
          <w:color w:val="44546A"/>
          <w:sz w:val="20"/>
          <w:szCs w:val="20"/>
        </w:rPr>
        <w:t>.</w:t>
      </w:r>
      <w:r w:rsidR="004F70A1">
        <w:rPr>
          <w:rFonts w:ascii="Century Gothic" w:hAnsi="Century Gothic"/>
          <w:b/>
          <w:bCs/>
          <w:color w:val="44546A"/>
          <w:sz w:val="20"/>
          <w:szCs w:val="20"/>
        </w:rPr>
        <w:fldChar w:fldCharType="begin"/>
      </w:r>
      <w:r w:rsidR="004F70A1" w:rsidRPr="00DF212D">
        <w:rPr>
          <w:rFonts w:ascii="Century Gothic" w:hAnsi="Century Gothic"/>
          <w:b/>
          <w:bCs/>
          <w:color w:val="44546A"/>
          <w:sz w:val="20"/>
          <w:szCs w:val="20"/>
        </w:rPr>
        <w:instrText xml:space="preserve"> SEQ Figure \* ARABIC \s 1 </w:instrText>
      </w:r>
      <w:r w:rsidR="004F70A1">
        <w:rPr>
          <w:rFonts w:ascii="Century Gothic" w:hAnsi="Century Gothic"/>
          <w:b/>
          <w:bCs/>
          <w:color w:val="44546A"/>
          <w:sz w:val="20"/>
          <w:szCs w:val="20"/>
        </w:rPr>
        <w:fldChar w:fldCharType="separate"/>
      </w:r>
      <w:r w:rsidR="001470A9">
        <w:rPr>
          <w:rFonts w:ascii="Century Gothic" w:hAnsi="Century Gothic"/>
          <w:b/>
          <w:bCs/>
          <w:noProof/>
          <w:color w:val="44546A"/>
          <w:sz w:val="20"/>
          <w:szCs w:val="20"/>
        </w:rPr>
        <w:t>5</w:t>
      </w:r>
      <w:r w:rsidR="004F70A1">
        <w:rPr>
          <w:rFonts w:ascii="Century Gothic" w:hAnsi="Century Gothic"/>
          <w:b/>
          <w:bCs/>
          <w:color w:val="44546A"/>
          <w:sz w:val="20"/>
          <w:szCs w:val="20"/>
        </w:rPr>
        <w:fldChar w:fldCharType="end"/>
      </w:r>
      <w:r w:rsidR="004F70A1" w:rsidRPr="00DF212D">
        <w:rPr>
          <w:rFonts w:ascii="Century Gothic" w:hAnsi="Century Gothic"/>
          <w:b/>
          <w:bCs/>
          <w:color w:val="44546A"/>
          <w:sz w:val="20"/>
          <w:szCs w:val="20"/>
        </w:rPr>
        <w:t xml:space="preserve"> </w:t>
      </w:r>
      <w:r>
        <w:rPr>
          <w:rFonts w:ascii="Century Gothic" w:hAnsi="Century Gothic"/>
          <w:b/>
          <w:bCs/>
          <w:color w:val="44546A"/>
          <w:sz w:val="20"/>
          <w:szCs w:val="20"/>
        </w:rPr>
        <w:t xml:space="preserve">Usual residence five years ago as recorded at the 2013 Census for </w:t>
      </w:r>
      <w:proofErr w:type="spellStart"/>
      <w:r w:rsidR="00CD1702">
        <w:rPr>
          <w:rFonts w:ascii="Century Gothic" w:hAnsi="Century Gothic"/>
          <w:b/>
          <w:bCs/>
          <w:color w:val="44546A"/>
          <w:sz w:val="20"/>
          <w:szCs w:val="20"/>
        </w:rPr>
        <w:t>t</w:t>
      </w:r>
      <w:r w:rsidR="000B60A9">
        <w:rPr>
          <w:rFonts w:ascii="Century Gothic" w:hAnsi="Century Gothic"/>
          <w:b/>
          <w:bCs/>
          <w:color w:val="44546A"/>
          <w:sz w:val="20"/>
          <w:szCs w:val="20"/>
        </w:rPr>
        <w:t>e</w:t>
      </w:r>
      <w:proofErr w:type="spellEnd"/>
      <w:r w:rsidR="000B60A9">
        <w:rPr>
          <w:rFonts w:ascii="Century Gothic" w:hAnsi="Century Gothic"/>
          <w:b/>
          <w:bCs/>
          <w:color w:val="44546A"/>
          <w:sz w:val="20"/>
          <w:szCs w:val="20"/>
        </w:rPr>
        <w:t xml:space="preserve"> reo Māori</w:t>
      </w:r>
      <w:r w:rsidR="001103A8">
        <w:rPr>
          <w:rFonts w:ascii="Century Gothic" w:hAnsi="Century Gothic"/>
          <w:b/>
          <w:bCs/>
          <w:color w:val="44546A"/>
          <w:sz w:val="20"/>
          <w:szCs w:val="20"/>
        </w:rPr>
        <w:t xml:space="preserve"> </w:t>
      </w:r>
      <w:r>
        <w:rPr>
          <w:rFonts w:ascii="Century Gothic" w:hAnsi="Century Gothic"/>
          <w:b/>
          <w:bCs/>
          <w:color w:val="44546A"/>
          <w:sz w:val="20"/>
          <w:szCs w:val="20"/>
        </w:rPr>
        <w:t>speakers</w:t>
      </w:r>
      <w:r w:rsidR="004F70A1">
        <w:rPr>
          <w:rFonts w:ascii="Century Gothic" w:hAnsi="Century Gothic"/>
          <w:b/>
          <w:bCs/>
          <w:color w:val="44546A"/>
          <w:sz w:val="20"/>
          <w:szCs w:val="20"/>
        </w:rPr>
        <w:t xml:space="preserve">; </w:t>
      </w:r>
      <w:proofErr w:type="spellStart"/>
      <w:r w:rsidR="008B1B8A">
        <w:rPr>
          <w:rFonts w:ascii="Century Gothic" w:hAnsi="Century Gothic"/>
          <w:b/>
          <w:bCs/>
          <w:color w:val="44546A"/>
          <w:sz w:val="20"/>
          <w:szCs w:val="20"/>
        </w:rPr>
        <w:t>Ngāi</w:t>
      </w:r>
      <w:proofErr w:type="spellEnd"/>
      <w:r w:rsidR="004F70A1" w:rsidRPr="00DF212D">
        <w:rPr>
          <w:rFonts w:ascii="Century Gothic" w:hAnsi="Century Gothic"/>
          <w:b/>
          <w:bCs/>
          <w:color w:val="44546A"/>
          <w:sz w:val="20"/>
          <w:szCs w:val="20"/>
        </w:rPr>
        <w:t xml:space="preserve"> </w:t>
      </w:r>
      <w:proofErr w:type="spellStart"/>
      <w:r w:rsidR="004F70A1" w:rsidRPr="00DF212D">
        <w:rPr>
          <w:rFonts w:ascii="Century Gothic" w:hAnsi="Century Gothic"/>
          <w:b/>
          <w:bCs/>
          <w:color w:val="44546A"/>
          <w:sz w:val="20"/>
          <w:szCs w:val="20"/>
        </w:rPr>
        <w:t>Tāmanuhiri</w:t>
      </w:r>
      <w:proofErr w:type="spellEnd"/>
      <w:r w:rsidR="004F70A1">
        <w:rPr>
          <w:rFonts w:ascii="Century Gothic" w:hAnsi="Century Gothic"/>
          <w:b/>
          <w:bCs/>
          <w:color w:val="44546A"/>
          <w:sz w:val="20"/>
          <w:szCs w:val="20"/>
        </w:rPr>
        <w:t xml:space="preserve"> resident in </w:t>
      </w:r>
      <w:proofErr w:type="spellStart"/>
      <w:r w:rsidR="004F70A1">
        <w:rPr>
          <w:rFonts w:ascii="Century Gothic" w:hAnsi="Century Gothic"/>
          <w:b/>
          <w:bCs/>
          <w:color w:val="44546A"/>
          <w:sz w:val="20"/>
          <w:szCs w:val="20"/>
        </w:rPr>
        <w:t>Gisborne</w:t>
      </w:r>
      <w:proofErr w:type="spellEnd"/>
      <w:r w:rsidR="004F70A1">
        <w:rPr>
          <w:rFonts w:ascii="Century Gothic" w:hAnsi="Century Gothic"/>
          <w:b/>
          <w:bCs/>
          <w:color w:val="44546A"/>
          <w:sz w:val="20"/>
          <w:szCs w:val="20"/>
        </w:rPr>
        <w:t xml:space="preserve"> and rest of New Zealand</w:t>
      </w:r>
      <w:bookmarkEnd w:id="34"/>
    </w:p>
    <w:p w14:paraId="5627BF96" w14:textId="5D96B194" w:rsidR="004F70A1" w:rsidRDefault="004F70A1" w:rsidP="004F70A1">
      <w:pPr>
        <w:spacing w:after="0" w:line="276" w:lineRule="auto"/>
        <w:rPr>
          <w:rFonts w:ascii="Century Gothic" w:hAnsi="Century Gothic"/>
          <w:b/>
          <w:bCs/>
          <w:color w:val="44546A"/>
          <w:sz w:val="20"/>
          <w:szCs w:val="20"/>
        </w:rPr>
      </w:pPr>
    </w:p>
    <w:p w14:paraId="4DEDCC63" w14:textId="77777777" w:rsidR="004F70A1" w:rsidRDefault="004F70A1" w:rsidP="004F70A1">
      <w:pPr>
        <w:spacing w:after="0" w:line="276" w:lineRule="auto"/>
        <w:rPr>
          <w:rFonts w:ascii="Century Gothic" w:hAnsi="Century Gothic"/>
          <w:b/>
          <w:bCs/>
          <w:color w:val="44546A"/>
          <w:sz w:val="20"/>
          <w:szCs w:val="20"/>
        </w:rPr>
      </w:pPr>
    </w:p>
    <w:p w14:paraId="36C6C536" w14:textId="79145660" w:rsidR="004F70A1" w:rsidRDefault="004F70A1" w:rsidP="004F70A1">
      <w:pPr>
        <w:spacing w:after="0" w:line="276" w:lineRule="auto"/>
        <w:rPr>
          <w:rFonts w:ascii="Century Gothic" w:hAnsi="Century Gothic"/>
          <w:b/>
          <w:bCs/>
          <w:color w:val="44546A"/>
          <w:sz w:val="20"/>
          <w:szCs w:val="20"/>
        </w:rPr>
      </w:pPr>
    </w:p>
    <w:p w14:paraId="1C429CF5" w14:textId="5C351869" w:rsidR="004F70A1" w:rsidRDefault="004F70A1" w:rsidP="004F70A1">
      <w:pPr>
        <w:spacing w:after="0" w:line="276" w:lineRule="auto"/>
        <w:rPr>
          <w:rFonts w:ascii="Century Gothic" w:hAnsi="Century Gothic"/>
          <w:b/>
          <w:bCs/>
          <w:color w:val="44546A"/>
          <w:sz w:val="20"/>
          <w:szCs w:val="20"/>
        </w:rPr>
      </w:pPr>
    </w:p>
    <w:p w14:paraId="7BF65420" w14:textId="0C566C9E" w:rsidR="004F70A1" w:rsidRDefault="004F70A1" w:rsidP="004F70A1">
      <w:pPr>
        <w:spacing w:after="0" w:line="276" w:lineRule="auto"/>
        <w:rPr>
          <w:rFonts w:ascii="Century Gothic" w:hAnsi="Century Gothic"/>
          <w:b/>
          <w:bCs/>
          <w:color w:val="44546A"/>
          <w:sz w:val="20"/>
          <w:szCs w:val="20"/>
        </w:rPr>
      </w:pPr>
    </w:p>
    <w:p w14:paraId="6A91A929" w14:textId="5CCBC855" w:rsidR="004F70A1" w:rsidRDefault="004F70A1" w:rsidP="004F70A1">
      <w:pPr>
        <w:spacing w:after="0" w:line="276" w:lineRule="auto"/>
        <w:rPr>
          <w:rFonts w:ascii="Century Gothic" w:hAnsi="Century Gothic"/>
          <w:b/>
          <w:bCs/>
          <w:color w:val="44546A"/>
          <w:sz w:val="20"/>
          <w:szCs w:val="20"/>
        </w:rPr>
      </w:pPr>
    </w:p>
    <w:p w14:paraId="10D155E0" w14:textId="214A139E" w:rsidR="004F70A1" w:rsidRDefault="004F70A1" w:rsidP="004F70A1">
      <w:pPr>
        <w:spacing w:after="0" w:line="276" w:lineRule="auto"/>
        <w:rPr>
          <w:rFonts w:ascii="Century Gothic" w:hAnsi="Century Gothic"/>
          <w:b/>
          <w:bCs/>
          <w:color w:val="44546A"/>
          <w:sz w:val="20"/>
          <w:szCs w:val="20"/>
        </w:rPr>
      </w:pPr>
    </w:p>
    <w:p w14:paraId="31DF6433" w14:textId="5E650B03" w:rsidR="004F70A1" w:rsidRDefault="004F70A1" w:rsidP="004F70A1">
      <w:pPr>
        <w:spacing w:after="0" w:line="276" w:lineRule="auto"/>
        <w:rPr>
          <w:rFonts w:ascii="Century Gothic" w:hAnsi="Century Gothic"/>
          <w:b/>
          <w:bCs/>
          <w:color w:val="44546A"/>
          <w:sz w:val="20"/>
          <w:szCs w:val="20"/>
        </w:rPr>
      </w:pPr>
    </w:p>
    <w:p w14:paraId="656465B4" w14:textId="468C08FB" w:rsidR="004F70A1" w:rsidRDefault="004F70A1" w:rsidP="004F70A1">
      <w:pPr>
        <w:spacing w:after="0" w:line="276" w:lineRule="auto"/>
        <w:rPr>
          <w:rFonts w:ascii="Century Gothic" w:hAnsi="Century Gothic"/>
          <w:b/>
          <w:bCs/>
          <w:color w:val="44546A"/>
          <w:sz w:val="20"/>
          <w:szCs w:val="20"/>
        </w:rPr>
      </w:pPr>
    </w:p>
    <w:p w14:paraId="05416997" w14:textId="6017A48E" w:rsidR="004F70A1" w:rsidRDefault="004F70A1" w:rsidP="004F70A1">
      <w:pPr>
        <w:spacing w:after="0" w:line="276" w:lineRule="auto"/>
        <w:rPr>
          <w:rFonts w:ascii="Century Gothic" w:hAnsi="Century Gothic"/>
          <w:b/>
          <w:bCs/>
          <w:color w:val="44546A"/>
          <w:sz w:val="20"/>
          <w:szCs w:val="20"/>
        </w:rPr>
      </w:pPr>
    </w:p>
    <w:p w14:paraId="08221CE8" w14:textId="77777777" w:rsidR="0065189F" w:rsidRDefault="0065189F" w:rsidP="004F70A1">
      <w:pPr>
        <w:spacing w:after="0" w:line="276" w:lineRule="auto"/>
        <w:rPr>
          <w:rFonts w:ascii="Century Gothic" w:hAnsi="Century Gothic"/>
          <w:b/>
          <w:bCs/>
          <w:color w:val="44546A"/>
          <w:sz w:val="20"/>
          <w:szCs w:val="20"/>
        </w:rPr>
      </w:pPr>
    </w:p>
    <w:p w14:paraId="1FBBB5AB" w14:textId="77777777" w:rsidR="0065189F" w:rsidRDefault="0065189F" w:rsidP="004F70A1">
      <w:pPr>
        <w:spacing w:after="0" w:line="276" w:lineRule="auto"/>
        <w:rPr>
          <w:rFonts w:ascii="Century Gothic" w:hAnsi="Century Gothic"/>
          <w:b/>
          <w:bCs/>
          <w:color w:val="44546A"/>
          <w:sz w:val="20"/>
          <w:szCs w:val="20"/>
        </w:rPr>
      </w:pPr>
    </w:p>
    <w:p w14:paraId="7F351C3C" w14:textId="291AA4CA" w:rsidR="004D7F3D" w:rsidRDefault="004D7F3D">
      <w:pPr>
        <w:rPr>
          <w:rFonts w:ascii="Century Gothic" w:hAnsi="Century Gothic"/>
          <w:b/>
          <w:bCs/>
          <w:color w:val="44546A"/>
          <w:sz w:val="20"/>
          <w:szCs w:val="20"/>
        </w:rPr>
      </w:pPr>
      <w:r>
        <w:rPr>
          <w:rFonts w:ascii="Century Gothic" w:hAnsi="Century Gothic"/>
          <w:b/>
          <w:bCs/>
          <w:color w:val="44546A"/>
          <w:sz w:val="20"/>
          <w:szCs w:val="20"/>
        </w:rPr>
        <w:br w:type="page"/>
      </w:r>
    </w:p>
    <w:p w14:paraId="3C1738C2" w14:textId="6D571481" w:rsidR="0058608C" w:rsidRPr="00871BA9" w:rsidRDefault="0058608C" w:rsidP="0065189F">
      <w:pPr>
        <w:pStyle w:val="Heading1"/>
        <w:numPr>
          <w:ilvl w:val="0"/>
          <w:numId w:val="2"/>
        </w:numPr>
        <w:shd w:val="clear" w:color="auto" w:fill="3DA5BD"/>
        <w:spacing w:after="120"/>
        <w:ind w:left="360"/>
        <w:rPr>
          <w:rFonts w:ascii="Century Gothic" w:hAnsi="Century Gothic"/>
          <w:b/>
          <w:bCs/>
          <w:color w:val="FFFFFF" w:themeColor="background1"/>
        </w:rPr>
      </w:pPr>
      <w:bookmarkStart w:id="35" w:name="_Toc491783049"/>
      <w:r>
        <w:rPr>
          <w:rFonts w:ascii="Century Gothic" w:hAnsi="Century Gothic"/>
          <w:b/>
          <w:bCs/>
          <w:color w:val="FFFFFF" w:themeColor="background1"/>
        </w:rPr>
        <w:lastRenderedPageBreak/>
        <w:t>Highest qualification</w:t>
      </w:r>
      <w:bookmarkEnd w:id="35"/>
    </w:p>
    <w:p w14:paraId="68FAD28D" w14:textId="0A72E18F" w:rsidR="004F70A1" w:rsidRDefault="004F70A1" w:rsidP="006001B0">
      <w:pPr>
        <w:spacing w:after="0" w:line="276" w:lineRule="auto"/>
        <w:rPr>
          <w:rFonts w:ascii="Century Gothic" w:hAnsi="Century Gothic"/>
          <w:b/>
          <w:bCs/>
          <w:color w:val="44546A"/>
          <w:sz w:val="20"/>
          <w:szCs w:val="20"/>
        </w:rPr>
      </w:pPr>
    </w:p>
    <w:p w14:paraId="0DF98610" w14:textId="1A5865A3" w:rsidR="0017315F" w:rsidRDefault="0017315F" w:rsidP="0017315F">
      <w:pPr>
        <w:spacing w:after="0" w:line="360" w:lineRule="auto"/>
        <w:rPr>
          <w:rFonts w:ascii="Century Gothic" w:hAnsi="Century Gothic"/>
          <w:sz w:val="21"/>
          <w:szCs w:val="21"/>
        </w:rPr>
      </w:pPr>
      <w:r>
        <w:rPr>
          <w:rFonts w:ascii="Century Gothic" w:hAnsi="Century Gothic"/>
          <w:sz w:val="21"/>
          <w:szCs w:val="21"/>
        </w:rPr>
        <w:t>Education</w:t>
      </w:r>
      <w:r w:rsidRPr="009E02DB">
        <w:rPr>
          <w:rFonts w:ascii="Century Gothic" w:hAnsi="Century Gothic"/>
          <w:sz w:val="21"/>
          <w:szCs w:val="21"/>
        </w:rPr>
        <w:t xml:space="preserve"> is fund</w:t>
      </w:r>
      <w:r>
        <w:rPr>
          <w:rFonts w:ascii="Century Gothic" w:hAnsi="Century Gothic"/>
          <w:sz w:val="21"/>
          <w:szCs w:val="21"/>
        </w:rPr>
        <w:t>amental for promoting wellbeing</w:t>
      </w:r>
      <w:r w:rsidRPr="009E02DB">
        <w:rPr>
          <w:rFonts w:ascii="Century Gothic" w:hAnsi="Century Gothic"/>
          <w:sz w:val="21"/>
          <w:szCs w:val="21"/>
        </w:rPr>
        <w:t xml:space="preserve"> through improved health, a higher standard of living, and better jobs.</w:t>
      </w:r>
      <w:r>
        <w:rPr>
          <w:rFonts w:ascii="Century Gothic" w:hAnsi="Century Gothic"/>
          <w:sz w:val="21"/>
          <w:szCs w:val="21"/>
        </w:rPr>
        <w:t xml:space="preserve"> In a post-settlement context, many iwi are focused on improving the material wellbeing of their members through providing opportunities to engage in meaningful educational opportunities. This includes reducing the share of those lacking any type of formal qualification.</w:t>
      </w:r>
    </w:p>
    <w:p w14:paraId="2E765A93" w14:textId="77777777" w:rsidR="00BA4DFD" w:rsidRDefault="00BA4DFD" w:rsidP="0017315F">
      <w:pPr>
        <w:spacing w:after="0" w:line="360" w:lineRule="auto"/>
        <w:rPr>
          <w:rFonts w:ascii="Century Gothic" w:hAnsi="Century Gothic"/>
          <w:sz w:val="21"/>
          <w:szCs w:val="21"/>
        </w:rPr>
      </w:pPr>
    </w:p>
    <w:p w14:paraId="0D7D8B61" w14:textId="52068D14" w:rsidR="00BA4DFD" w:rsidRDefault="00BA4DFD" w:rsidP="00CD1702">
      <w:pPr>
        <w:spacing w:after="0" w:line="360" w:lineRule="auto"/>
        <w:rPr>
          <w:rFonts w:ascii="Century Gothic" w:hAnsi="Century Gothic"/>
          <w:sz w:val="21"/>
          <w:szCs w:val="21"/>
        </w:rPr>
      </w:pPr>
      <w:r>
        <w:rPr>
          <w:rFonts w:ascii="Century Gothic" w:hAnsi="Century Gothic"/>
          <w:sz w:val="21"/>
          <w:szCs w:val="21"/>
        </w:rPr>
        <w:t>The remaining sections are limited to an an</w:t>
      </w:r>
      <w:r w:rsidR="00CD1702">
        <w:rPr>
          <w:rFonts w:ascii="Century Gothic" w:hAnsi="Century Gothic"/>
          <w:sz w:val="21"/>
          <w:szCs w:val="21"/>
        </w:rPr>
        <w:t xml:space="preserve">alysis of </w:t>
      </w:r>
      <w:proofErr w:type="spellStart"/>
      <w:r w:rsidR="00CD1702">
        <w:rPr>
          <w:rFonts w:ascii="Century Gothic" w:hAnsi="Century Gothic"/>
          <w:sz w:val="21"/>
          <w:szCs w:val="21"/>
        </w:rPr>
        <w:t>Ngā</w:t>
      </w:r>
      <w:proofErr w:type="spellEnd"/>
      <w:r w:rsidR="00CD1702">
        <w:rPr>
          <w:rFonts w:ascii="Century Gothic" w:hAnsi="Century Gothic"/>
          <w:sz w:val="21"/>
          <w:szCs w:val="21"/>
        </w:rPr>
        <w:t xml:space="preserve"> </w:t>
      </w:r>
      <w:proofErr w:type="spellStart"/>
      <w:r w:rsidR="00CD1702">
        <w:rPr>
          <w:rFonts w:ascii="Century Gothic" w:hAnsi="Century Gothic"/>
          <w:sz w:val="21"/>
          <w:szCs w:val="21"/>
        </w:rPr>
        <w:t>Tāmanuhiri</w:t>
      </w:r>
      <w:proofErr w:type="spellEnd"/>
      <w:r w:rsidR="00CD1702">
        <w:rPr>
          <w:rFonts w:ascii="Century Gothic" w:hAnsi="Century Gothic"/>
          <w:sz w:val="21"/>
          <w:szCs w:val="21"/>
        </w:rPr>
        <w:t xml:space="preserve"> aged</w:t>
      </w:r>
      <w:r>
        <w:rPr>
          <w:rFonts w:ascii="Century Gothic" w:hAnsi="Century Gothic"/>
          <w:sz w:val="21"/>
          <w:szCs w:val="21"/>
        </w:rPr>
        <w:t xml:space="preserve"> 15 years or older; in 2013 this equated to </w:t>
      </w:r>
      <w:r w:rsidR="00D20EC5">
        <w:rPr>
          <w:rFonts w:ascii="Century Gothic" w:hAnsi="Century Gothic"/>
          <w:sz w:val="21"/>
          <w:szCs w:val="21"/>
        </w:rPr>
        <w:t>1,185</w:t>
      </w:r>
      <w:r>
        <w:rPr>
          <w:rFonts w:ascii="Century Gothic" w:hAnsi="Century Gothic"/>
          <w:sz w:val="21"/>
          <w:szCs w:val="21"/>
        </w:rPr>
        <w:t xml:space="preserve"> individuals. </w:t>
      </w:r>
      <w:r w:rsidR="002F1D8B">
        <w:rPr>
          <w:rFonts w:ascii="Century Gothic" w:hAnsi="Century Gothic"/>
          <w:sz w:val="21"/>
          <w:szCs w:val="21"/>
        </w:rPr>
        <w:t>Caution</w:t>
      </w:r>
      <w:r>
        <w:rPr>
          <w:rFonts w:ascii="Century Gothic" w:hAnsi="Century Gothic"/>
          <w:sz w:val="21"/>
          <w:szCs w:val="21"/>
        </w:rPr>
        <w:t xml:space="preserve"> is needed when interpreting the results for more detailed analysis (e.g., the educational profile of </w:t>
      </w:r>
      <w:proofErr w:type="spellStart"/>
      <w:proofErr w:type="gramStart"/>
      <w:r w:rsidR="00441BDE">
        <w:rPr>
          <w:rFonts w:ascii="Century Gothic" w:hAnsi="Century Gothic"/>
          <w:sz w:val="21"/>
          <w:szCs w:val="21"/>
        </w:rPr>
        <w:t>t</w:t>
      </w:r>
      <w:r w:rsidR="000B60A9">
        <w:rPr>
          <w:rFonts w:ascii="Century Gothic" w:hAnsi="Century Gothic"/>
          <w:sz w:val="21"/>
          <w:szCs w:val="21"/>
        </w:rPr>
        <w:t>e</w:t>
      </w:r>
      <w:proofErr w:type="spellEnd"/>
      <w:proofErr w:type="gramEnd"/>
      <w:r w:rsidR="000B60A9">
        <w:rPr>
          <w:rFonts w:ascii="Century Gothic" w:hAnsi="Century Gothic"/>
          <w:sz w:val="21"/>
          <w:szCs w:val="21"/>
        </w:rPr>
        <w:t xml:space="preserve"> reo Māori</w:t>
      </w:r>
      <w:r>
        <w:rPr>
          <w:rFonts w:ascii="Century Gothic" w:hAnsi="Century Gothic"/>
          <w:sz w:val="21"/>
          <w:szCs w:val="21"/>
        </w:rPr>
        <w:t xml:space="preserve"> speakers</w:t>
      </w:r>
      <w:r w:rsidR="00D20EC5">
        <w:rPr>
          <w:rFonts w:ascii="Century Gothic" w:hAnsi="Century Gothic"/>
          <w:sz w:val="21"/>
          <w:szCs w:val="21"/>
        </w:rPr>
        <w:t xml:space="preserve"> residing in </w:t>
      </w:r>
      <w:proofErr w:type="spellStart"/>
      <w:r w:rsidR="00D20EC5">
        <w:rPr>
          <w:rFonts w:ascii="Century Gothic" w:hAnsi="Century Gothic"/>
          <w:sz w:val="21"/>
          <w:szCs w:val="21"/>
        </w:rPr>
        <w:t>Gisborne</w:t>
      </w:r>
      <w:proofErr w:type="spellEnd"/>
      <w:r>
        <w:rPr>
          <w:rFonts w:ascii="Century Gothic" w:hAnsi="Century Gothic"/>
          <w:sz w:val="21"/>
          <w:szCs w:val="21"/>
        </w:rPr>
        <w:t>), as the numbers involved can be quite small.</w:t>
      </w:r>
    </w:p>
    <w:p w14:paraId="4C3FD630" w14:textId="77777777" w:rsidR="0017315F" w:rsidRDefault="0017315F" w:rsidP="0017315F">
      <w:pPr>
        <w:spacing w:after="0" w:line="360" w:lineRule="auto"/>
        <w:rPr>
          <w:rFonts w:ascii="Century Gothic" w:hAnsi="Century Gothic"/>
          <w:sz w:val="21"/>
          <w:szCs w:val="21"/>
        </w:rPr>
      </w:pPr>
    </w:p>
    <w:p w14:paraId="50778B13" w14:textId="77777777" w:rsidR="00910DE6" w:rsidRDefault="0017315F" w:rsidP="00910DE6">
      <w:pPr>
        <w:spacing w:after="0" w:line="360" w:lineRule="auto"/>
        <w:rPr>
          <w:rFonts w:ascii="Century Gothic" w:hAnsi="Century Gothic"/>
          <w:sz w:val="21"/>
          <w:szCs w:val="21"/>
        </w:rPr>
      </w:pPr>
      <w:r>
        <w:rPr>
          <w:rFonts w:ascii="Century Gothic" w:hAnsi="Century Gothic"/>
          <w:sz w:val="21"/>
          <w:szCs w:val="21"/>
        </w:rPr>
        <w:t xml:space="preserve">Figure 3.1 shows that the share of </w:t>
      </w:r>
      <w:proofErr w:type="spellStart"/>
      <w:r>
        <w:rPr>
          <w:rFonts w:ascii="Century Gothic" w:hAnsi="Century Gothic"/>
          <w:sz w:val="21"/>
          <w:szCs w:val="21"/>
        </w:rPr>
        <w:t>Ngāi</w:t>
      </w:r>
      <w:proofErr w:type="spellEnd"/>
      <w:r>
        <w:rPr>
          <w:rFonts w:ascii="Century Gothic" w:hAnsi="Century Gothic"/>
          <w:sz w:val="21"/>
          <w:szCs w:val="21"/>
        </w:rPr>
        <w:t xml:space="preserve"> </w:t>
      </w:r>
      <w:proofErr w:type="spellStart"/>
      <w:r>
        <w:rPr>
          <w:rFonts w:ascii="Century Gothic" w:hAnsi="Century Gothic"/>
          <w:sz w:val="21"/>
          <w:szCs w:val="21"/>
        </w:rPr>
        <w:t>Tāmanuhiri</w:t>
      </w:r>
      <w:proofErr w:type="spellEnd"/>
      <w:r>
        <w:rPr>
          <w:rFonts w:ascii="Century Gothic" w:hAnsi="Century Gothic"/>
          <w:sz w:val="21"/>
          <w:szCs w:val="21"/>
        </w:rPr>
        <w:t xml:space="preserve"> adults (15 years of older) without a formal qualification has reduced over time, from 28.5 per cent in 2006 to 22.1 per cent in 2013. In both periods this was significantly lower than the overall Māori share reporting no qualification (31.3 per cent in 2013). </w:t>
      </w:r>
      <w:r w:rsidR="00910DE6">
        <w:rPr>
          <w:rFonts w:ascii="Century Gothic" w:hAnsi="Century Gothic"/>
          <w:sz w:val="21"/>
          <w:szCs w:val="21"/>
        </w:rPr>
        <w:t>In terms of success in higher education</w:t>
      </w:r>
      <w:r w:rsidR="002663B3">
        <w:rPr>
          <w:rFonts w:ascii="Century Gothic" w:hAnsi="Century Gothic"/>
          <w:sz w:val="21"/>
          <w:szCs w:val="21"/>
        </w:rPr>
        <w:t>, abou</w:t>
      </w:r>
      <w:r w:rsidR="002F1D8B">
        <w:rPr>
          <w:rFonts w:ascii="Century Gothic" w:hAnsi="Century Gothic"/>
          <w:sz w:val="21"/>
          <w:szCs w:val="21"/>
        </w:rPr>
        <w:t xml:space="preserve">t one in six (16.9 per cent) </w:t>
      </w:r>
      <w:proofErr w:type="spellStart"/>
      <w:r w:rsidR="002663B3">
        <w:rPr>
          <w:rFonts w:ascii="Century Gothic" w:hAnsi="Century Gothic"/>
          <w:sz w:val="21"/>
          <w:szCs w:val="21"/>
        </w:rPr>
        <w:t>Ngāi</w:t>
      </w:r>
      <w:proofErr w:type="spellEnd"/>
      <w:r w:rsidR="002663B3">
        <w:rPr>
          <w:rFonts w:ascii="Century Gothic" w:hAnsi="Century Gothic"/>
          <w:sz w:val="21"/>
          <w:szCs w:val="21"/>
        </w:rPr>
        <w:t xml:space="preserve"> </w:t>
      </w:r>
      <w:proofErr w:type="spellStart"/>
      <w:r w:rsidR="002663B3">
        <w:rPr>
          <w:rFonts w:ascii="Century Gothic" w:hAnsi="Century Gothic"/>
          <w:sz w:val="21"/>
          <w:szCs w:val="21"/>
        </w:rPr>
        <w:t>Tāmanuhiri</w:t>
      </w:r>
      <w:proofErr w:type="spellEnd"/>
      <w:r w:rsidR="002663B3">
        <w:rPr>
          <w:rFonts w:ascii="Century Gothic" w:hAnsi="Century Gothic"/>
          <w:sz w:val="21"/>
          <w:szCs w:val="21"/>
        </w:rPr>
        <w:t xml:space="preserve"> adults had at least a Bachelor degree (n=</w:t>
      </w:r>
      <w:r w:rsidR="002810CD">
        <w:rPr>
          <w:rFonts w:ascii="Century Gothic" w:hAnsi="Century Gothic"/>
          <w:sz w:val="21"/>
          <w:szCs w:val="21"/>
        </w:rPr>
        <w:t>186</w:t>
      </w:r>
      <w:r w:rsidR="002663B3">
        <w:rPr>
          <w:rFonts w:ascii="Century Gothic" w:hAnsi="Century Gothic"/>
          <w:sz w:val="21"/>
          <w:szCs w:val="21"/>
        </w:rPr>
        <w:t>). Again this was substantially higher than the share of degree holders among Māori generally.</w:t>
      </w:r>
    </w:p>
    <w:p w14:paraId="41456A49" w14:textId="77777777" w:rsidR="00910DE6" w:rsidRDefault="00910DE6" w:rsidP="00910DE6">
      <w:pPr>
        <w:spacing w:after="0" w:line="360" w:lineRule="auto"/>
        <w:rPr>
          <w:rFonts w:ascii="Century Gothic" w:hAnsi="Century Gothic"/>
          <w:sz w:val="21"/>
          <w:szCs w:val="21"/>
        </w:rPr>
      </w:pPr>
    </w:p>
    <w:p w14:paraId="7443EDEF" w14:textId="5EFF6F1A" w:rsidR="004F70A1" w:rsidRPr="002F1D8B" w:rsidRDefault="002F1D8B" w:rsidP="00910DE6">
      <w:pPr>
        <w:spacing w:after="0" w:line="360" w:lineRule="auto"/>
        <w:rPr>
          <w:rFonts w:ascii="Century Gothic" w:hAnsi="Century Gothic"/>
          <w:sz w:val="21"/>
          <w:szCs w:val="21"/>
        </w:rPr>
      </w:pPr>
      <w:r>
        <w:rPr>
          <w:rFonts w:ascii="Century Gothic" w:hAnsi="Century Gothic"/>
          <w:sz w:val="21"/>
          <w:szCs w:val="21"/>
        </w:rPr>
        <w:t xml:space="preserve">Turning to Figure 3.2, we can see that </w:t>
      </w:r>
      <w:proofErr w:type="spellStart"/>
      <w:r>
        <w:rPr>
          <w:rFonts w:ascii="Century Gothic" w:hAnsi="Century Gothic"/>
          <w:sz w:val="21"/>
          <w:szCs w:val="21"/>
        </w:rPr>
        <w:t>Ngāi</w:t>
      </w:r>
      <w:proofErr w:type="spellEnd"/>
      <w:r>
        <w:rPr>
          <w:rFonts w:ascii="Century Gothic" w:hAnsi="Century Gothic"/>
          <w:sz w:val="21"/>
          <w:szCs w:val="21"/>
        </w:rPr>
        <w:t xml:space="preserve"> </w:t>
      </w:r>
      <w:proofErr w:type="spellStart"/>
      <w:r>
        <w:rPr>
          <w:rFonts w:ascii="Century Gothic" w:hAnsi="Century Gothic"/>
          <w:sz w:val="21"/>
          <w:szCs w:val="21"/>
        </w:rPr>
        <w:t>Tāmanuhiri</w:t>
      </w:r>
      <w:proofErr w:type="spellEnd"/>
      <w:r>
        <w:rPr>
          <w:rFonts w:ascii="Century Gothic" w:hAnsi="Century Gothic"/>
          <w:sz w:val="21"/>
          <w:szCs w:val="21"/>
        </w:rPr>
        <w:t xml:space="preserve"> living in </w:t>
      </w:r>
      <w:proofErr w:type="spellStart"/>
      <w:r>
        <w:rPr>
          <w:rFonts w:ascii="Century Gothic" w:hAnsi="Century Gothic"/>
          <w:sz w:val="21"/>
          <w:szCs w:val="21"/>
        </w:rPr>
        <w:t>Gisborne</w:t>
      </w:r>
      <w:proofErr w:type="spellEnd"/>
      <w:r>
        <w:rPr>
          <w:rFonts w:ascii="Century Gothic" w:hAnsi="Century Gothic"/>
          <w:sz w:val="21"/>
          <w:szCs w:val="21"/>
        </w:rPr>
        <w:t xml:space="preserve"> had a lower proportion of degree holders (13.7 per cent), than iwi members living elsewhere (19 per cent). This i</w:t>
      </w:r>
      <w:r w:rsidR="00BF51CA">
        <w:rPr>
          <w:rFonts w:ascii="Century Gothic" w:hAnsi="Century Gothic"/>
          <w:sz w:val="21"/>
          <w:szCs w:val="21"/>
        </w:rPr>
        <w:t xml:space="preserve">s not surprising as the </w:t>
      </w:r>
      <w:proofErr w:type="spellStart"/>
      <w:r>
        <w:rPr>
          <w:rFonts w:ascii="Century Gothic" w:hAnsi="Century Gothic"/>
          <w:sz w:val="21"/>
          <w:szCs w:val="21"/>
        </w:rPr>
        <w:t>Gisborne</w:t>
      </w:r>
      <w:proofErr w:type="spellEnd"/>
      <w:r>
        <w:rPr>
          <w:rFonts w:ascii="Century Gothic" w:hAnsi="Century Gothic"/>
          <w:sz w:val="21"/>
          <w:szCs w:val="21"/>
        </w:rPr>
        <w:t xml:space="preserve"> regional overall has lower levels of ter</w:t>
      </w:r>
      <w:r w:rsidR="00BF51CA">
        <w:rPr>
          <w:rFonts w:ascii="Century Gothic" w:hAnsi="Century Gothic"/>
          <w:sz w:val="21"/>
          <w:szCs w:val="21"/>
        </w:rPr>
        <w:t>tiary-educated people than</w:t>
      </w:r>
      <w:r>
        <w:rPr>
          <w:rFonts w:ascii="Century Gothic" w:hAnsi="Century Gothic"/>
          <w:sz w:val="21"/>
          <w:szCs w:val="21"/>
        </w:rPr>
        <w:t xml:space="preserve"> the national average.</w:t>
      </w:r>
    </w:p>
    <w:p w14:paraId="6EEA81B8" w14:textId="7329E234" w:rsidR="0024365C" w:rsidRDefault="0024365C" w:rsidP="00CD1702">
      <w:pPr>
        <w:spacing w:after="0" w:line="360" w:lineRule="auto"/>
        <w:rPr>
          <w:rFonts w:ascii="Century Gothic" w:hAnsi="Century Gothic"/>
          <w:b/>
          <w:bCs/>
          <w:color w:val="44546A"/>
          <w:sz w:val="20"/>
          <w:szCs w:val="20"/>
        </w:rPr>
      </w:pPr>
    </w:p>
    <w:p w14:paraId="2A36D56E" w14:textId="3B9477BE" w:rsidR="0058513D" w:rsidRPr="00DF212D" w:rsidRDefault="00E4210A" w:rsidP="00E454F5">
      <w:pPr>
        <w:spacing w:after="0" w:line="276" w:lineRule="auto"/>
        <w:rPr>
          <w:rFonts w:ascii="Century Gothic" w:eastAsiaTheme="majorEastAsia" w:hAnsi="Century Gothic" w:cstheme="majorBidi"/>
          <w:b/>
          <w:bCs/>
          <w:color w:val="4EAFC6"/>
          <w:sz w:val="21"/>
          <w:szCs w:val="21"/>
          <w:lang w:eastAsia="en-US"/>
        </w:rPr>
      </w:pPr>
      <w:bookmarkStart w:id="36" w:name="_Toc491783074"/>
      <w:r w:rsidRPr="00E4210A">
        <w:rPr>
          <w:noProof/>
        </w:rPr>
        <w:drawing>
          <wp:anchor distT="0" distB="0" distL="114300" distR="114300" simplePos="0" relativeHeight="252352512" behindDoc="1" locked="0" layoutInCell="1" allowOverlap="1" wp14:anchorId="5C4B6138" wp14:editId="4E8BB6BD">
            <wp:simplePos x="0" y="0"/>
            <wp:positionH relativeFrom="column">
              <wp:posOffset>7023</wp:posOffset>
            </wp:positionH>
            <wp:positionV relativeFrom="paragraph">
              <wp:posOffset>465013</wp:posOffset>
            </wp:positionV>
            <wp:extent cx="6220800" cy="2631600"/>
            <wp:effectExtent l="0" t="0" r="8890" b="0"/>
            <wp:wrapTight wrapText="bothSides">
              <wp:wrapPolygon edited="0">
                <wp:start x="0" y="0"/>
                <wp:lineTo x="0" y="21423"/>
                <wp:lineTo x="21565" y="21423"/>
                <wp:lineTo x="21565"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20800" cy="263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513D" w:rsidRPr="00DF212D">
        <w:rPr>
          <w:rFonts w:ascii="Century Gothic" w:hAnsi="Century Gothic"/>
          <w:b/>
          <w:bCs/>
          <w:color w:val="44546A"/>
          <w:sz w:val="20"/>
          <w:szCs w:val="20"/>
        </w:rPr>
        <w:t xml:space="preserve">Figure </w:t>
      </w:r>
      <w:r w:rsidR="0058513D">
        <w:rPr>
          <w:rFonts w:ascii="Century Gothic" w:hAnsi="Century Gothic"/>
          <w:b/>
          <w:bCs/>
          <w:color w:val="44546A"/>
          <w:sz w:val="20"/>
          <w:szCs w:val="20"/>
        </w:rPr>
        <w:fldChar w:fldCharType="begin"/>
      </w:r>
      <w:r w:rsidR="0058513D" w:rsidRPr="00DF212D">
        <w:rPr>
          <w:rFonts w:ascii="Century Gothic" w:hAnsi="Century Gothic"/>
          <w:b/>
          <w:bCs/>
          <w:color w:val="44546A"/>
          <w:sz w:val="20"/>
          <w:szCs w:val="20"/>
        </w:rPr>
        <w:instrText xml:space="preserve"> STYLEREF 1 \s </w:instrText>
      </w:r>
      <w:r w:rsidR="0058513D">
        <w:rPr>
          <w:rFonts w:ascii="Century Gothic" w:hAnsi="Century Gothic"/>
          <w:b/>
          <w:bCs/>
          <w:color w:val="44546A"/>
          <w:sz w:val="20"/>
          <w:szCs w:val="20"/>
        </w:rPr>
        <w:fldChar w:fldCharType="separate"/>
      </w:r>
      <w:r w:rsidR="001470A9">
        <w:rPr>
          <w:rFonts w:ascii="Century Gothic" w:hAnsi="Century Gothic" w:hint="cs"/>
          <w:b/>
          <w:bCs/>
          <w:noProof/>
          <w:color w:val="44546A"/>
          <w:sz w:val="20"/>
          <w:szCs w:val="20"/>
          <w:cs/>
        </w:rPr>
        <w:t>‎</w:t>
      </w:r>
      <w:r w:rsidR="001470A9">
        <w:rPr>
          <w:rFonts w:ascii="Century Gothic" w:hAnsi="Century Gothic"/>
          <w:b/>
          <w:bCs/>
          <w:noProof/>
          <w:color w:val="44546A"/>
          <w:sz w:val="20"/>
          <w:szCs w:val="20"/>
        </w:rPr>
        <w:t>3</w:t>
      </w:r>
      <w:r w:rsidR="0058513D">
        <w:rPr>
          <w:rFonts w:ascii="Century Gothic" w:hAnsi="Century Gothic"/>
          <w:b/>
          <w:bCs/>
          <w:color w:val="44546A"/>
          <w:sz w:val="20"/>
          <w:szCs w:val="20"/>
        </w:rPr>
        <w:fldChar w:fldCharType="end"/>
      </w:r>
      <w:r w:rsidR="0058513D" w:rsidRPr="00DF212D">
        <w:rPr>
          <w:rFonts w:ascii="Century Gothic" w:hAnsi="Century Gothic"/>
          <w:b/>
          <w:bCs/>
          <w:color w:val="44546A"/>
          <w:sz w:val="20"/>
          <w:szCs w:val="20"/>
        </w:rPr>
        <w:t>.</w:t>
      </w:r>
      <w:r w:rsidR="0058513D">
        <w:rPr>
          <w:rFonts w:ascii="Century Gothic" w:hAnsi="Century Gothic"/>
          <w:b/>
          <w:bCs/>
          <w:color w:val="44546A"/>
          <w:sz w:val="20"/>
          <w:szCs w:val="20"/>
        </w:rPr>
        <w:fldChar w:fldCharType="begin"/>
      </w:r>
      <w:r w:rsidR="0058513D" w:rsidRPr="00DF212D">
        <w:rPr>
          <w:rFonts w:ascii="Century Gothic" w:hAnsi="Century Gothic"/>
          <w:b/>
          <w:bCs/>
          <w:color w:val="44546A"/>
          <w:sz w:val="20"/>
          <w:szCs w:val="20"/>
        </w:rPr>
        <w:instrText xml:space="preserve"> SEQ Figure \* ARABIC \s 1 </w:instrText>
      </w:r>
      <w:r w:rsidR="0058513D">
        <w:rPr>
          <w:rFonts w:ascii="Century Gothic" w:hAnsi="Century Gothic"/>
          <w:b/>
          <w:bCs/>
          <w:color w:val="44546A"/>
          <w:sz w:val="20"/>
          <w:szCs w:val="20"/>
        </w:rPr>
        <w:fldChar w:fldCharType="separate"/>
      </w:r>
      <w:r w:rsidR="001470A9">
        <w:rPr>
          <w:rFonts w:ascii="Century Gothic" w:hAnsi="Century Gothic"/>
          <w:b/>
          <w:bCs/>
          <w:noProof/>
          <w:color w:val="44546A"/>
          <w:sz w:val="20"/>
          <w:szCs w:val="20"/>
        </w:rPr>
        <w:t>1</w:t>
      </w:r>
      <w:r w:rsidR="0058513D">
        <w:rPr>
          <w:rFonts w:ascii="Century Gothic" w:hAnsi="Century Gothic"/>
          <w:b/>
          <w:bCs/>
          <w:color w:val="44546A"/>
          <w:sz w:val="20"/>
          <w:szCs w:val="20"/>
        </w:rPr>
        <w:fldChar w:fldCharType="end"/>
      </w:r>
      <w:r w:rsidR="0058513D" w:rsidRPr="00DF212D">
        <w:rPr>
          <w:rFonts w:ascii="Century Gothic" w:hAnsi="Century Gothic"/>
          <w:b/>
          <w:bCs/>
          <w:color w:val="44546A"/>
          <w:sz w:val="20"/>
          <w:szCs w:val="20"/>
        </w:rPr>
        <w:t xml:space="preserve"> </w:t>
      </w:r>
      <w:r w:rsidR="0058513D">
        <w:rPr>
          <w:rFonts w:ascii="Century Gothic" w:hAnsi="Century Gothic"/>
          <w:b/>
          <w:bCs/>
          <w:color w:val="44546A"/>
          <w:sz w:val="20"/>
          <w:szCs w:val="20"/>
        </w:rPr>
        <w:t>H</w:t>
      </w:r>
      <w:r w:rsidR="001103A8">
        <w:rPr>
          <w:rFonts w:ascii="Century Gothic" w:hAnsi="Century Gothic"/>
          <w:b/>
          <w:bCs/>
          <w:color w:val="44546A"/>
          <w:sz w:val="20"/>
          <w:szCs w:val="20"/>
        </w:rPr>
        <w:t xml:space="preserve">ighest qualification of </w:t>
      </w:r>
      <w:proofErr w:type="spellStart"/>
      <w:r w:rsidR="008B1B8A">
        <w:rPr>
          <w:rFonts w:ascii="Century Gothic" w:hAnsi="Century Gothic"/>
          <w:b/>
          <w:bCs/>
          <w:color w:val="44546A"/>
          <w:sz w:val="20"/>
          <w:szCs w:val="20"/>
        </w:rPr>
        <w:t>Ngāi</w:t>
      </w:r>
      <w:proofErr w:type="spellEnd"/>
      <w:r w:rsidR="0058513D" w:rsidRPr="00DF212D">
        <w:rPr>
          <w:rFonts w:ascii="Century Gothic" w:hAnsi="Century Gothic"/>
          <w:b/>
          <w:bCs/>
          <w:color w:val="44546A"/>
          <w:sz w:val="20"/>
          <w:szCs w:val="20"/>
        </w:rPr>
        <w:t xml:space="preserve"> </w:t>
      </w:r>
      <w:proofErr w:type="spellStart"/>
      <w:r w:rsidR="0058513D" w:rsidRPr="00DF212D">
        <w:rPr>
          <w:rFonts w:ascii="Century Gothic" w:hAnsi="Century Gothic"/>
          <w:b/>
          <w:bCs/>
          <w:color w:val="44546A"/>
          <w:sz w:val="20"/>
          <w:szCs w:val="20"/>
        </w:rPr>
        <w:t>Tāmanuhiri</w:t>
      </w:r>
      <w:proofErr w:type="spellEnd"/>
      <w:r w:rsidR="001103A8">
        <w:rPr>
          <w:rFonts w:ascii="Century Gothic" w:hAnsi="Century Gothic"/>
          <w:b/>
          <w:bCs/>
          <w:color w:val="44546A"/>
          <w:sz w:val="20"/>
          <w:szCs w:val="20"/>
        </w:rPr>
        <w:t xml:space="preserve"> adults aged 15+ </w:t>
      </w:r>
      <w:r>
        <w:rPr>
          <w:rFonts w:ascii="Century Gothic" w:hAnsi="Century Gothic"/>
          <w:b/>
          <w:bCs/>
          <w:color w:val="44546A"/>
          <w:sz w:val="20"/>
          <w:szCs w:val="20"/>
        </w:rPr>
        <w:t>and the total M</w:t>
      </w:r>
      <w:r w:rsidR="00E454F5">
        <w:rPr>
          <w:rFonts w:ascii="Century Gothic" w:hAnsi="Century Gothic"/>
          <w:b/>
          <w:bCs/>
          <w:color w:val="44546A"/>
          <w:sz w:val="20"/>
          <w:szCs w:val="20"/>
        </w:rPr>
        <w:t>ā</w:t>
      </w:r>
      <w:r>
        <w:rPr>
          <w:rFonts w:ascii="Century Gothic" w:hAnsi="Century Gothic"/>
          <w:b/>
          <w:bCs/>
          <w:color w:val="44546A"/>
          <w:sz w:val="20"/>
          <w:szCs w:val="20"/>
        </w:rPr>
        <w:t>ori descent population</w:t>
      </w:r>
      <w:r w:rsidR="0058513D">
        <w:rPr>
          <w:rFonts w:ascii="Century Gothic" w:hAnsi="Century Gothic"/>
          <w:b/>
          <w:bCs/>
          <w:color w:val="44546A"/>
          <w:sz w:val="20"/>
          <w:szCs w:val="20"/>
        </w:rPr>
        <w:t>; 2006 and 2013 Censuses</w:t>
      </w:r>
      <w:bookmarkEnd w:id="36"/>
    </w:p>
    <w:p w14:paraId="1AA8A882" w14:textId="744EF950" w:rsidR="00C047E9" w:rsidRPr="00DF212D" w:rsidRDefault="007016BE" w:rsidP="001103A8">
      <w:pPr>
        <w:spacing w:after="0" w:line="276" w:lineRule="auto"/>
        <w:rPr>
          <w:rFonts w:ascii="Century Gothic" w:eastAsiaTheme="majorEastAsia" w:hAnsi="Century Gothic" w:cstheme="majorBidi"/>
          <w:b/>
          <w:bCs/>
          <w:color w:val="4EAFC6"/>
          <w:sz w:val="21"/>
          <w:szCs w:val="21"/>
          <w:lang w:eastAsia="en-US"/>
        </w:rPr>
      </w:pPr>
      <w:bookmarkStart w:id="37" w:name="_Toc491783075"/>
      <w:r w:rsidRPr="007016BE">
        <w:rPr>
          <w:noProof/>
        </w:rPr>
        <w:lastRenderedPageBreak/>
        <w:drawing>
          <wp:anchor distT="0" distB="0" distL="114300" distR="114300" simplePos="0" relativeHeight="252327936" behindDoc="1" locked="0" layoutInCell="1" allowOverlap="1" wp14:anchorId="2A0C1F59" wp14:editId="52BB5A48">
            <wp:simplePos x="0" y="0"/>
            <wp:positionH relativeFrom="column">
              <wp:posOffset>4408</wp:posOffset>
            </wp:positionH>
            <wp:positionV relativeFrom="paragraph">
              <wp:posOffset>417941</wp:posOffset>
            </wp:positionV>
            <wp:extent cx="6224400" cy="2602800"/>
            <wp:effectExtent l="0" t="0" r="5080" b="7620"/>
            <wp:wrapTight wrapText="bothSides">
              <wp:wrapPolygon edited="0">
                <wp:start x="0" y="0"/>
                <wp:lineTo x="0" y="21505"/>
                <wp:lineTo x="21552" y="21505"/>
                <wp:lineTo x="2155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24400" cy="260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47E9" w:rsidRPr="00DF212D">
        <w:rPr>
          <w:rFonts w:ascii="Century Gothic" w:hAnsi="Century Gothic"/>
          <w:b/>
          <w:bCs/>
          <w:color w:val="44546A"/>
          <w:sz w:val="20"/>
          <w:szCs w:val="20"/>
        </w:rPr>
        <w:t xml:space="preserve">Figure </w:t>
      </w:r>
      <w:r w:rsidR="00C047E9">
        <w:rPr>
          <w:rFonts w:ascii="Century Gothic" w:hAnsi="Century Gothic"/>
          <w:b/>
          <w:bCs/>
          <w:color w:val="44546A"/>
          <w:sz w:val="20"/>
          <w:szCs w:val="20"/>
        </w:rPr>
        <w:fldChar w:fldCharType="begin"/>
      </w:r>
      <w:r w:rsidR="00C047E9" w:rsidRPr="00DF212D">
        <w:rPr>
          <w:rFonts w:ascii="Century Gothic" w:hAnsi="Century Gothic"/>
          <w:b/>
          <w:bCs/>
          <w:color w:val="44546A"/>
          <w:sz w:val="20"/>
          <w:szCs w:val="20"/>
        </w:rPr>
        <w:instrText xml:space="preserve"> STYLEREF 1 \s </w:instrText>
      </w:r>
      <w:r w:rsidR="00C047E9">
        <w:rPr>
          <w:rFonts w:ascii="Century Gothic" w:hAnsi="Century Gothic"/>
          <w:b/>
          <w:bCs/>
          <w:color w:val="44546A"/>
          <w:sz w:val="20"/>
          <w:szCs w:val="20"/>
        </w:rPr>
        <w:fldChar w:fldCharType="separate"/>
      </w:r>
      <w:r w:rsidR="001470A9">
        <w:rPr>
          <w:rFonts w:ascii="Century Gothic" w:hAnsi="Century Gothic" w:hint="cs"/>
          <w:b/>
          <w:bCs/>
          <w:noProof/>
          <w:color w:val="44546A"/>
          <w:sz w:val="20"/>
          <w:szCs w:val="20"/>
          <w:cs/>
        </w:rPr>
        <w:t>‎</w:t>
      </w:r>
      <w:r w:rsidR="001470A9">
        <w:rPr>
          <w:rFonts w:ascii="Century Gothic" w:hAnsi="Century Gothic"/>
          <w:b/>
          <w:bCs/>
          <w:noProof/>
          <w:color w:val="44546A"/>
          <w:sz w:val="20"/>
          <w:szCs w:val="20"/>
        </w:rPr>
        <w:t>3</w:t>
      </w:r>
      <w:r w:rsidR="00C047E9">
        <w:rPr>
          <w:rFonts w:ascii="Century Gothic" w:hAnsi="Century Gothic"/>
          <w:b/>
          <w:bCs/>
          <w:color w:val="44546A"/>
          <w:sz w:val="20"/>
          <w:szCs w:val="20"/>
        </w:rPr>
        <w:fldChar w:fldCharType="end"/>
      </w:r>
      <w:r w:rsidR="00C047E9" w:rsidRPr="00DF212D">
        <w:rPr>
          <w:rFonts w:ascii="Century Gothic" w:hAnsi="Century Gothic"/>
          <w:b/>
          <w:bCs/>
          <w:color w:val="44546A"/>
          <w:sz w:val="20"/>
          <w:szCs w:val="20"/>
        </w:rPr>
        <w:t>.</w:t>
      </w:r>
      <w:r w:rsidR="00C047E9">
        <w:rPr>
          <w:rFonts w:ascii="Century Gothic" w:hAnsi="Century Gothic"/>
          <w:b/>
          <w:bCs/>
          <w:color w:val="44546A"/>
          <w:sz w:val="20"/>
          <w:szCs w:val="20"/>
        </w:rPr>
        <w:fldChar w:fldCharType="begin"/>
      </w:r>
      <w:r w:rsidR="00C047E9" w:rsidRPr="00DF212D">
        <w:rPr>
          <w:rFonts w:ascii="Century Gothic" w:hAnsi="Century Gothic"/>
          <w:b/>
          <w:bCs/>
          <w:color w:val="44546A"/>
          <w:sz w:val="20"/>
          <w:szCs w:val="20"/>
        </w:rPr>
        <w:instrText xml:space="preserve"> SEQ Figure \* ARABIC \s 1 </w:instrText>
      </w:r>
      <w:r w:rsidR="00C047E9">
        <w:rPr>
          <w:rFonts w:ascii="Century Gothic" w:hAnsi="Century Gothic"/>
          <w:b/>
          <w:bCs/>
          <w:color w:val="44546A"/>
          <w:sz w:val="20"/>
          <w:szCs w:val="20"/>
        </w:rPr>
        <w:fldChar w:fldCharType="separate"/>
      </w:r>
      <w:r w:rsidR="001470A9">
        <w:rPr>
          <w:rFonts w:ascii="Century Gothic" w:hAnsi="Century Gothic"/>
          <w:b/>
          <w:bCs/>
          <w:noProof/>
          <w:color w:val="44546A"/>
          <w:sz w:val="20"/>
          <w:szCs w:val="20"/>
        </w:rPr>
        <w:t>2</w:t>
      </w:r>
      <w:r w:rsidR="00C047E9">
        <w:rPr>
          <w:rFonts w:ascii="Century Gothic" w:hAnsi="Century Gothic"/>
          <w:b/>
          <w:bCs/>
          <w:color w:val="44546A"/>
          <w:sz w:val="20"/>
          <w:szCs w:val="20"/>
        </w:rPr>
        <w:fldChar w:fldCharType="end"/>
      </w:r>
      <w:r w:rsidR="00C047E9" w:rsidRPr="00DF212D">
        <w:rPr>
          <w:rFonts w:ascii="Century Gothic" w:hAnsi="Century Gothic"/>
          <w:b/>
          <w:bCs/>
          <w:color w:val="44546A"/>
          <w:sz w:val="20"/>
          <w:szCs w:val="20"/>
        </w:rPr>
        <w:t xml:space="preserve"> </w:t>
      </w:r>
      <w:r w:rsidR="00D144BC">
        <w:rPr>
          <w:rFonts w:ascii="Century Gothic" w:hAnsi="Century Gothic"/>
          <w:b/>
          <w:bCs/>
          <w:color w:val="44546A"/>
          <w:sz w:val="20"/>
          <w:szCs w:val="20"/>
        </w:rPr>
        <w:t xml:space="preserve">Highest qualification of </w:t>
      </w:r>
      <w:proofErr w:type="spellStart"/>
      <w:r w:rsidR="008B1B8A">
        <w:rPr>
          <w:rFonts w:ascii="Century Gothic" w:hAnsi="Century Gothic"/>
          <w:b/>
          <w:bCs/>
          <w:color w:val="44546A"/>
          <w:sz w:val="20"/>
          <w:szCs w:val="20"/>
        </w:rPr>
        <w:t>Ngāi</w:t>
      </w:r>
      <w:proofErr w:type="spellEnd"/>
      <w:r w:rsidR="00C047E9" w:rsidRPr="00DF212D">
        <w:rPr>
          <w:rFonts w:ascii="Century Gothic" w:hAnsi="Century Gothic"/>
          <w:b/>
          <w:bCs/>
          <w:color w:val="44546A"/>
          <w:sz w:val="20"/>
          <w:szCs w:val="20"/>
        </w:rPr>
        <w:t xml:space="preserve"> </w:t>
      </w:r>
      <w:proofErr w:type="spellStart"/>
      <w:r w:rsidR="00C047E9" w:rsidRPr="00DF212D">
        <w:rPr>
          <w:rFonts w:ascii="Century Gothic" w:hAnsi="Century Gothic"/>
          <w:b/>
          <w:bCs/>
          <w:color w:val="44546A"/>
          <w:sz w:val="20"/>
          <w:szCs w:val="20"/>
        </w:rPr>
        <w:t>Tāmanuhiri</w:t>
      </w:r>
      <w:proofErr w:type="spellEnd"/>
      <w:r w:rsidR="001103A8">
        <w:rPr>
          <w:rFonts w:ascii="Century Gothic" w:hAnsi="Century Gothic"/>
          <w:b/>
          <w:bCs/>
          <w:color w:val="44546A"/>
          <w:sz w:val="20"/>
          <w:szCs w:val="20"/>
        </w:rPr>
        <w:t xml:space="preserve"> adults aged 15+ </w:t>
      </w:r>
      <w:r w:rsidR="00924783">
        <w:rPr>
          <w:rFonts w:ascii="Century Gothic" w:hAnsi="Century Gothic"/>
          <w:b/>
          <w:bCs/>
          <w:color w:val="44546A"/>
          <w:sz w:val="20"/>
          <w:szCs w:val="20"/>
        </w:rPr>
        <w:t xml:space="preserve">resident in </w:t>
      </w:r>
      <w:proofErr w:type="spellStart"/>
      <w:r w:rsidR="00924783">
        <w:rPr>
          <w:rFonts w:ascii="Century Gothic" w:hAnsi="Century Gothic"/>
          <w:b/>
          <w:bCs/>
          <w:color w:val="44546A"/>
          <w:sz w:val="20"/>
          <w:szCs w:val="20"/>
        </w:rPr>
        <w:t>Gisborne</w:t>
      </w:r>
      <w:proofErr w:type="spellEnd"/>
      <w:r w:rsidR="00924783">
        <w:rPr>
          <w:rFonts w:ascii="Century Gothic" w:hAnsi="Century Gothic"/>
          <w:b/>
          <w:bCs/>
          <w:color w:val="44546A"/>
          <w:sz w:val="20"/>
          <w:szCs w:val="20"/>
        </w:rPr>
        <w:t xml:space="preserve"> and rest of New Zealand</w:t>
      </w:r>
      <w:r w:rsidR="00C047E9">
        <w:rPr>
          <w:rFonts w:ascii="Century Gothic" w:hAnsi="Century Gothic"/>
          <w:b/>
          <w:bCs/>
          <w:color w:val="44546A"/>
          <w:sz w:val="20"/>
          <w:szCs w:val="20"/>
        </w:rPr>
        <w:t>; Census 2013</w:t>
      </w:r>
      <w:bookmarkEnd w:id="37"/>
    </w:p>
    <w:p w14:paraId="0B100CD1" w14:textId="50A16A10" w:rsidR="00C047E9" w:rsidRDefault="00C047E9" w:rsidP="009A3440">
      <w:pPr>
        <w:spacing w:after="0" w:line="276" w:lineRule="auto"/>
        <w:rPr>
          <w:rFonts w:ascii="Century Gothic" w:hAnsi="Century Gothic"/>
          <w:b/>
          <w:bCs/>
          <w:color w:val="44546A"/>
          <w:sz w:val="20"/>
          <w:szCs w:val="20"/>
        </w:rPr>
      </w:pPr>
    </w:p>
    <w:p w14:paraId="56B60316" w14:textId="31823C66" w:rsidR="004E0A80" w:rsidRPr="00DE7843" w:rsidRDefault="002F1D8B" w:rsidP="00E454F5">
      <w:pPr>
        <w:spacing w:after="0" w:line="360" w:lineRule="auto"/>
        <w:rPr>
          <w:rFonts w:ascii="Century Gothic" w:hAnsi="Century Gothic"/>
          <w:sz w:val="21"/>
          <w:szCs w:val="21"/>
        </w:rPr>
      </w:pPr>
      <w:r w:rsidRPr="00DE7843">
        <w:rPr>
          <w:rFonts w:ascii="Century Gothic" w:hAnsi="Century Gothic"/>
          <w:sz w:val="21"/>
          <w:szCs w:val="21"/>
        </w:rPr>
        <w:t xml:space="preserve">What does the educational profile of </w:t>
      </w:r>
      <w:proofErr w:type="spellStart"/>
      <w:r w:rsidRPr="00DE7843">
        <w:rPr>
          <w:rFonts w:ascii="Century Gothic" w:hAnsi="Century Gothic"/>
          <w:sz w:val="21"/>
          <w:szCs w:val="21"/>
        </w:rPr>
        <w:t>Ngāi</w:t>
      </w:r>
      <w:proofErr w:type="spellEnd"/>
      <w:r w:rsidRPr="00DE7843">
        <w:rPr>
          <w:rFonts w:ascii="Century Gothic" w:hAnsi="Century Gothic"/>
          <w:sz w:val="21"/>
          <w:szCs w:val="21"/>
        </w:rPr>
        <w:t xml:space="preserve"> </w:t>
      </w:r>
      <w:proofErr w:type="spellStart"/>
      <w:r w:rsidRPr="00DE7843">
        <w:rPr>
          <w:rFonts w:ascii="Century Gothic" w:hAnsi="Century Gothic"/>
          <w:sz w:val="21"/>
          <w:szCs w:val="21"/>
        </w:rPr>
        <w:t>Tāmanuhiri</w:t>
      </w:r>
      <w:proofErr w:type="spellEnd"/>
      <w:r w:rsidRPr="00DE7843">
        <w:rPr>
          <w:rFonts w:ascii="Century Gothic" w:hAnsi="Century Gothic"/>
          <w:sz w:val="21"/>
          <w:szCs w:val="21"/>
        </w:rPr>
        <w:t xml:space="preserve"> speakers of </w:t>
      </w:r>
      <w:proofErr w:type="spellStart"/>
      <w:proofErr w:type="gramStart"/>
      <w:r w:rsidR="00E454F5">
        <w:rPr>
          <w:rFonts w:ascii="Century Gothic" w:hAnsi="Century Gothic"/>
          <w:sz w:val="21"/>
          <w:szCs w:val="21"/>
        </w:rPr>
        <w:t>t</w:t>
      </w:r>
      <w:r w:rsidR="000B60A9" w:rsidRPr="00DE7843">
        <w:rPr>
          <w:rFonts w:ascii="Century Gothic" w:hAnsi="Century Gothic"/>
          <w:sz w:val="21"/>
          <w:szCs w:val="21"/>
        </w:rPr>
        <w:t>e</w:t>
      </w:r>
      <w:proofErr w:type="spellEnd"/>
      <w:proofErr w:type="gramEnd"/>
      <w:r w:rsidR="000B60A9" w:rsidRPr="00DE7843">
        <w:rPr>
          <w:rFonts w:ascii="Century Gothic" w:hAnsi="Century Gothic"/>
          <w:sz w:val="21"/>
          <w:szCs w:val="21"/>
        </w:rPr>
        <w:t xml:space="preserve"> reo Māori</w:t>
      </w:r>
      <w:r w:rsidRPr="00DE7843">
        <w:rPr>
          <w:rFonts w:ascii="Century Gothic" w:hAnsi="Century Gothic"/>
          <w:sz w:val="21"/>
          <w:szCs w:val="21"/>
        </w:rPr>
        <w:t xml:space="preserve"> look like? In 2013 more than one fifth </w:t>
      </w:r>
      <w:r w:rsidR="000C0FE2" w:rsidRPr="00DE7843">
        <w:rPr>
          <w:rFonts w:ascii="Century Gothic" w:hAnsi="Century Gothic"/>
          <w:sz w:val="21"/>
          <w:szCs w:val="21"/>
        </w:rPr>
        <w:t xml:space="preserve">of the </w:t>
      </w:r>
      <w:r w:rsidRPr="00DE7843">
        <w:rPr>
          <w:rFonts w:ascii="Century Gothic" w:hAnsi="Century Gothic"/>
          <w:sz w:val="21"/>
          <w:szCs w:val="21"/>
        </w:rPr>
        <w:t xml:space="preserve">iwi’s </w:t>
      </w:r>
      <w:r w:rsidR="000C0FE2" w:rsidRPr="00DE7843">
        <w:rPr>
          <w:rFonts w:ascii="Century Gothic" w:hAnsi="Century Gothic"/>
          <w:sz w:val="21"/>
          <w:szCs w:val="21"/>
        </w:rPr>
        <w:t xml:space="preserve">adult </w:t>
      </w:r>
      <w:r w:rsidRPr="00DE7843">
        <w:rPr>
          <w:rFonts w:ascii="Century Gothic" w:hAnsi="Century Gothic"/>
          <w:sz w:val="21"/>
          <w:szCs w:val="21"/>
        </w:rPr>
        <w:t>Māori s</w:t>
      </w:r>
      <w:r w:rsidR="00BD5783" w:rsidRPr="00DE7843">
        <w:rPr>
          <w:rFonts w:ascii="Century Gothic" w:hAnsi="Century Gothic"/>
          <w:sz w:val="21"/>
          <w:szCs w:val="21"/>
        </w:rPr>
        <w:t>peakers ha</w:t>
      </w:r>
      <w:r w:rsidR="00E454F5">
        <w:rPr>
          <w:rFonts w:ascii="Century Gothic" w:hAnsi="Century Gothic"/>
          <w:sz w:val="21"/>
          <w:szCs w:val="21"/>
        </w:rPr>
        <w:t>d</w:t>
      </w:r>
      <w:r w:rsidR="00BD5783" w:rsidRPr="00DE7843">
        <w:rPr>
          <w:rFonts w:ascii="Century Gothic" w:hAnsi="Century Gothic"/>
          <w:sz w:val="21"/>
          <w:szCs w:val="21"/>
        </w:rPr>
        <w:t xml:space="preserve"> at least a Bachelor</w:t>
      </w:r>
      <w:r w:rsidRPr="00DE7843">
        <w:rPr>
          <w:rFonts w:ascii="Century Gothic" w:hAnsi="Century Gothic"/>
          <w:sz w:val="21"/>
          <w:szCs w:val="21"/>
        </w:rPr>
        <w:t xml:space="preserve"> degree (Figure 3.3</w:t>
      </w:r>
      <w:r w:rsidR="00BD5783" w:rsidRPr="00DE7843">
        <w:rPr>
          <w:rFonts w:ascii="Century Gothic" w:hAnsi="Century Gothic"/>
          <w:sz w:val="21"/>
          <w:szCs w:val="21"/>
        </w:rPr>
        <w:t>, n=111</w:t>
      </w:r>
      <w:r w:rsidRPr="00DE7843">
        <w:rPr>
          <w:rFonts w:ascii="Century Gothic" w:hAnsi="Century Gothic"/>
          <w:sz w:val="21"/>
          <w:szCs w:val="21"/>
        </w:rPr>
        <w:t xml:space="preserve">). This was </w:t>
      </w:r>
      <w:r w:rsidR="00910DE6" w:rsidRPr="00DE7843">
        <w:rPr>
          <w:rFonts w:ascii="Century Gothic" w:hAnsi="Century Gothic"/>
          <w:sz w:val="21"/>
          <w:szCs w:val="21"/>
        </w:rPr>
        <w:t>much higher than the overall iwi share shown earlier</w:t>
      </w:r>
      <w:r w:rsidR="00BF51CA" w:rsidRPr="00DE7843">
        <w:rPr>
          <w:rFonts w:ascii="Century Gothic" w:hAnsi="Century Gothic"/>
          <w:sz w:val="21"/>
          <w:szCs w:val="21"/>
        </w:rPr>
        <w:t xml:space="preserve">. It also exceeds </w:t>
      </w:r>
      <w:r w:rsidR="00910DE6" w:rsidRPr="00DE7843">
        <w:rPr>
          <w:rFonts w:ascii="Century Gothic" w:hAnsi="Century Gothic"/>
          <w:sz w:val="21"/>
          <w:szCs w:val="21"/>
        </w:rPr>
        <w:t>the</w:t>
      </w:r>
      <w:r w:rsidRPr="00DE7843">
        <w:rPr>
          <w:rFonts w:ascii="Century Gothic" w:hAnsi="Century Gothic"/>
          <w:sz w:val="21"/>
          <w:szCs w:val="21"/>
        </w:rPr>
        <w:t xml:space="preserve"> share of university-qualified </w:t>
      </w:r>
      <w:proofErr w:type="spellStart"/>
      <w:proofErr w:type="gramStart"/>
      <w:r w:rsidR="00E454F5">
        <w:rPr>
          <w:rFonts w:ascii="Century Gothic" w:hAnsi="Century Gothic"/>
          <w:sz w:val="21"/>
          <w:szCs w:val="21"/>
        </w:rPr>
        <w:t>t</w:t>
      </w:r>
      <w:r w:rsidR="000B60A9" w:rsidRPr="00DE7843">
        <w:rPr>
          <w:rFonts w:ascii="Century Gothic" w:hAnsi="Century Gothic"/>
          <w:sz w:val="21"/>
          <w:szCs w:val="21"/>
        </w:rPr>
        <w:t>e</w:t>
      </w:r>
      <w:proofErr w:type="spellEnd"/>
      <w:proofErr w:type="gramEnd"/>
      <w:r w:rsidR="000B60A9" w:rsidRPr="00DE7843">
        <w:rPr>
          <w:rFonts w:ascii="Century Gothic" w:hAnsi="Century Gothic"/>
          <w:sz w:val="21"/>
          <w:szCs w:val="21"/>
        </w:rPr>
        <w:t xml:space="preserve"> reo Māori</w:t>
      </w:r>
      <w:r w:rsidRPr="00DE7843">
        <w:rPr>
          <w:rFonts w:ascii="Century Gothic" w:hAnsi="Century Gothic"/>
          <w:sz w:val="21"/>
          <w:szCs w:val="21"/>
        </w:rPr>
        <w:t xml:space="preserve"> speakers in the wider Māori descent group (14.1 per cent). </w:t>
      </w:r>
      <w:r w:rsidR="00873E08" w:rsidRPr="00DE7843">
        <w:rPr>
          <w:rFonts w:ascii="Century Gothic" w:hAnsi="Century Gothic"/>
          <w:sz w:val="21"/>
          <w:szCs w:val="21"/>
        </w:rPr>
        <w:t>Unfortunately we cann</w:t>
      </w:r>
      <w:r w:rsidR="00BD5783" w:rsidRPr="00DE7843">
        <w:rPr>
          <w:rFonts w:ascii="Century Gothic" w:hAnsi="Century Gothic"/>
          <w:sz w:val="21"/>
          <w:szCs w:val="21"/>
        </w:rPr>
        <w:t>ot tell whet</w:t>
      </w:r>
      <w:r w:rsidR="00441BDE" w:rsidRPr="00DE7843">
        <w:rPr>
          <w:rFonts w:ascii="Century Gothic" w:hAnsi="Century Gothic"/>
          <w:sz w:val="21"/>
          <w:szCs w:val="21"/>
        </w:rPr>
        <w:t xml:space="preserve">her </w:t>
      </w:r>
      <w:proofErr w:type="spellStart"/>
      <w:r w:rsidR="00441BDE" w:rsidRPr="00DE7843">
        <w:rPr>
          <w:rFonts w:ascii="Century Gothic" w:hAnsi="Century Gothic"/>
          <w:sz w:val="21"/>
          <w:szCs w:val="21"/>
        </w:rPr>
        <w:t>Ngāi</w:t>
      </w:r>
      <w:proofErr w:type="spellEnd"/>
      <w:r w:rsidR="00441BDE" w:rsidRPr="00DE7843">
        <w:rPr>
          <w:rFonts w:ascii="Century Gothic" w:hAnsi="Century Gothic"/>
          <w:sz w:val="21"/>
          <w:szCs w:val="21"/>
        </w:rPr>
        <w:t xml:space="preserve"> </w:t>
      </w:r>
      <w:proofErr w:type="spellStart"/>
      <w:r w:rsidR="00441BDE" w:rsidRPr="00DE7843">
        <w:rPr>
          <w:rFonts w:ascii="Century Gothic" w:hAnsi="Century Gothic"/>
          <w:sz w:val="21"/>
          <w:szCs w:val="21"/>
        </w:rPr>
        <w:t>Tāmanuhiri</w:t>
      </w:r>
      <w:proofErr w:type="spellEnd"/>
      <w:r w:rsidR="00441BDE" w:rsidRPr="00DE7843">
        <w:rPr>
          <w:rFonts w:ascii="Century Gothic" w:hAnsi="Century Gothic"/>
          <w:sz w:val="21"/>
          <w:szCs w:val="21"/>
        </w:rPr>
        <w:t xml:space="preserve"> who </w:t>
      </w:r>
      <w:r w:rsidR="00BD5783" w:rsidRPr="00DE7843">
        <w:rPr>
          <w:rFonts w:ascii="Century Gothic" w:hAnsi="Century Gothic"/>
          <w:sz w:val="21"/>
          <w:szCs w:val="21"/>
        </w:rPr>
        <w:t xml:space="preserve">speak </w:t>
      </w:r>
      <w:proofErr w:type="spellStart"/>
      <w:proofErr w:type="gramStart"/>
      <w:r w:rsidR="00441BDE" w:rsidRPr="00DE7843">
        <w:rPr>
          <w:rFonts w:ascii="Century Gothic" w:hAnsi="Century Gothic"/>
          <w:sz w:val="21"/>
          <w:szCs w:val="21"/>
        </w:rPr>
        <w:t>t</w:t>
      </w:r>
      <w:r w:rsidR="000B60A9" w:rsidRPr="00DE7843">
        <w:rPr>
          <w:rFonts w:ascii="Century Gothic" w:hAnsi="Century Gothic"/>
          <w:sz w:val="21"/>
          <w:szCs w:val="21"/>
        </w:rPr>
        <w:t>e</w:t>
      </w:r>
      <w:proofErr w:type="spellEnd"/>
      <w:proofErr w:type="gramEnd"/>
      <w:r w:rsidR="000B60A9" w:rsidRPr="00DE7843">
        <w:rPr>
          <w:rFonts w:ascii="Century Gothic" w:hAnsi="Century Gothic"/>
          <w:sz w:val="21"/>
          <w:szCs w:val="21"/>
        </w:rPr>
        <w:t xml:space="preserve"> reo Māori</w:t>
      </w:r>
      <w:r w:rsidR="00873E08" w:rsidRPr="00DE7843">
        <w:rPr>
          <w:rFonts w:ascii="Century Gothic" w:hAnsi="Century Gothic"/>
          <w:sz w:val="21"/>
          <w:szCs w:val="21"/>
        </w:rPr>
        <w:t xml:space="preserve"> </w:t>
      </w:r>
      <w:r w:rsidR="00BD5783" w:rsidRPr="00DE7843">
        <w:rPr>
          <w:rFonts w:ascii="Century Gothic" w:hAnsi="Century Gothic"/>
          <w:sz w:val="21"/>
          <w:szCs w:val="21"/>
        </w:rPr>
        <w:t xml:space="preserve">are more likely to obtain a university degree, or whether those who pursue a </w:t>
      </w:r>
      <w:r w:rsidR="00910DE6" w:rsidRPr="00DE7843">
        <w:rPr>
          <w:rFonts w:ascii="Century Gothic" w:hAnsi="Century Gothic"/>
          <w:sz w:val="21"/>
          <w:szCs w:val="21"/>
        </w:rPr>
        <w:t xml:space="preserve">university education </w:t>
      </w:r>
      <w:r w:rsidR="00441BDE" w:rsidRPr="00DE7843">
        <w:rPr>
          <w:rFonts w:ascii="Century Gothic" w:hAnsi="Century Gothic"/>
          <w:sz w:val="21"/>
          <w:szCs w:val="21"/>
        </w:rPr>
        <w:t>acquire</w:t>
      </w:r>
      <w:r w:rsidR="00BD5783" w:rsidRPr="00DE7843">
        <w:rPr>
          <w:rFonts w:ascii="Century Gothic" w:hAnsi="Century Gothic"/>
          <w:sz w:val="21"/>
          <w:szCs w:val="21"/>
        </w:rPr>
        <w:t xml:space="preserve"> </w:t>
      </w:r>
      <w:r w:rsidR="00441BDE" w:rsidRPr="00DE7843">
        <w:rPr>
          <w:rFonts w:ascii="Century Gothic" w:hAnsi="Century Gothic"/>
          <w:sz w:val="21"/>
          <w:szCs w:val="21"/>
        </w:rPr>
        <w:t xml:space="preserve">or improve their </w:t>
      </w:r>
      <w:r w:rsidR="000B60A9" w:rsidRPr="00DE7843">
        <w:rPr>
          <w:rFonts w:ascii="Century Gothic" w:hAnsi="Century Gothic"/>
          <w:sz w:val="21"/>
          <w:szCs w:val="21"/>
        </w:rPr>
        <w:t>reo Māori</w:t>
      </w:r>
      <w:r w:rsidR="00BD5783" w:rsidRPr="00DE7843">
        <w:rPr>
          <w:rFonts w:ascii="Century Gothic" w:hAnsi="Century Gothic"/>
          <w:sz w:val="21"/>
          <w:szCs w:val="21"/>
        </w:rPr>
        <w:t xml:space="preserve"> </w:t>
      </w:r>
      <w:r w:rsidR="00441BDE" w:rsidRPr="00DE7843">
        <w:rPr>
          <w:rFonts w:ascii="Century Gothic" w:hAnsi="Century Gothic"/>
          <w:sz w:val="21"/>
          <w:szCs w:val="21"/>
        </w:rPr>
        <w:t xml:space="preserve">as part of </w:t>
      </w:r>
      <w:r w:rsidR="005B3BC8" w:rsidRPr="00DE7843">
        <w:rPr>
          <w:rFonts w:ascii="Century Gothic" w:hAnsi="Century Gothic"/>
          <w:sz w:val="21"/>
          <w:szCs w:val="21"/>
        </w:rPr>
        <w:t>their studies</w:t>
      </w:r>
      <w:r w:rsidR="005B3BC8" w:rsidRPr="00E454F5">
        <w:rPr>
          <w:rStyle w:val="FootnoteReference"/>
          <w:rFonts w:ascii="Century Gothic" w:hAnsi="Century Gothic"/>
          <w:sz w:val="21"/>
          <w:szCs w:val="21"/>
        </w:rPr>
        <w:footnoteReference w:id="10"/>
      </w:r>
      <w:r w:rsidR="00910DE6" w:rsidRPr="00DE7843">
        <w:rPr>
          <w:rFonts w:ascii="Century Gothic" w:hAnsi="Century Gothic"/>
          <w:sz w:val="21"/>
          <w:szCs w:val="21"/>
        </w:rPr>
        <w:t>. I</w:t>
      </w:r>
      <w:r w:rsidR="00873E08" w:rsidRPr="00DE7843">
        <w:rPr>
          <w:rFonts w:ascii="Century Gothic" w:hAnsi="Century Gothic"/>
          <w:sz w:val="21"/>
          <w:szCs w:val="21"/>
        </w:rPr>
        <w:t xml:space="preserve">t may well be </w:t>
      </w:r>
      <w:r w:rsidR="00910DE6" w:rsidRPr="00DE7843">
        <w:rPr>
          <w:rFonts w:ascii="Century Gothic" w:hAnsi="Century Gothic"/>
          <w:sz w:val="21"/>
          <w:szCs w:val="21"/>
        </w:rPr>
        <w:t xml:space="preserve">that the link between higher education and speaking </w:t>
      </w:r>
      <w:proofErr w:type="spellStart"/>
      <w:proofErr w:type="gramStart"/>
      <w:r w:rsidR="00441BDE" w:rsidRPr="00DE7843">
        <w:rPr>
          <w:rFonts w:ascii="Century Gothic" w:hAnsi="Century Gothic"/>
          <w:sz w:val="21"/>
          <w:szCs w:val="21"/>
        </w:rPr>
        <w:t>t</w:t>
      </w:r>
      <w:r w:rsidR="000B60A9" w:rsidRPr="00DE7843">
        <w:rPr>
          <w:rFonts w:ascii="Century Gothic" w:hAnsi="Century Gothic"/>
          <w:sz w:val="21"/>
          <w:szCs w:val="21"/>
        </w:rPr>
        <w:t>e</w:t>
      </w:r>
      <w:proofErr w:type="spellEnd"/>
      <w:proofErr w:type="gramEnd"/>
      <w:r w:rsidR="000B60A9" w:rsidRPr="00DE7843">
        <w:rPr>
          <w:rFonts w:ascii="Century Gothic" w:hAnsi="Century Gothic"/>
          <w:sz w:val="21"/>
          <w:szCs w:val="21"/>
        </w:rPr>
        <w:t xml:space="preserve"> reo Māori</w:t>
      </w:r>
      <w:r w:rsidR="00910DE6" w:rsidRPr="00DE7843">
        <w:rPr>
          <w:rFonts w:ascii="Century Gothic" w:hAnsi="Century Gothic"/>
          <w:sz w:val="21"/>
          <w:szCs w:val="21"/>
        </w:rPr>
        <w:t xml:space="preserve"> reflects </w:t>
      </w:r>
      <w:r w:rsidR="00BF51CA" w:rsidRPr="00DE7843">
        <w:rPr>
          <w:rFonts w:ascii="Century Gothic" w:hAnsi="Century Gothic"/>
          <w:sz w:val="21"/>
          <w:szCs w:val="21"/>
        </w:rPr>
        <w:t>a combination of both of these processes</w:t>
      </w:r>
      <w:r w:rsidR="00873E08" w:rsidRPr="00DE7843">
        <w:rPr>
          <w:rFonts w:ascii="Century Gothic" w:hAnsi="Century Gothic"/>
          <w:sz w:val="21"/>
          <w:szCs w:val="21"/>
        </w:rPr>
        <w:t>.</w:t>
      </w:r>
    </w:p>
    <w:p w14:paraId="4A10041A" w14:textId="77777777" w:rsidR="00A21D95" w:rsidRPr="00DE7843" w:rsidRDefault="00A21D95" w:rsidP="00DE7843">
      <w:pPr>
        <w:spacing w:after="0" w:line="360" w:lineRule="auto"/>
        <w:rPr>
          <w:rFonts w:ascii="Century Gothic" w:hAnsi="Century Gothic"/>
          <w:sz w:val="21"/>
          <w:szCs w:val="21"/>
        </w:rPr>
      </w:pPr>
    </w:p>
    <w:p w14:paraId="590CC374" w14:textId="44F437C8" w:rsidR="00C047E9" w:rsidRDefault="00C047E9" w:rsidP="009A3440">
      <w:pPr>
        <w:spacing w:after="0" w:line="276" w:lineRule="auto"/>
        <w:rPr>
          <w:rFonts w:ascii="Century Gothic" w:hAnsi="Century Gothic"/>
          <w:b/>
          <w:bCs/>
          <w:color w:val="44546A"/>
          <w:sz w:val="20"/>
          <w:szCs w:val="20"/>
        </w:rPr>
      </w:pPr>
    </w:p>
    <w:p w14:paraId="54C3D48F" w14:textId="27E7930D" w:rsidR="00387802" w:rsidRDefault="00387802" w:rsidP="00E454F5">
      <w:pPr>
        <w:spacing w:after="0" w:line="276" w:lineRule="auto"/>
        <w:rPr>
          <w:rFonts w:ascii="Century Gothic" w:hAnsi="Century Gothic"/>
          <w:b/>
          <w:bCs/>
          <w:color w:val="44546A"/>
          <w:sz w:val="20"/>
          <w:szCs w:val="20"/>
        </w:rPr>
      </w:pPr>
      <w:bookmarkStart w:id="38" w:name="_Toc491783076"/>
      <w:r w:rsidRPr="00387802">
        <w:rPr>
          <w:noProof/>
        </w:rPr>
        <w:lastRenderedPageBreak/>
        <w:drawing>
          <wp:anchor distT="0" distB="0" distL="114300" distR="114300" simplePos="0" relativeHeight="252353536" behindDoc="1" locked="0" layoutInCell="1" allowOverlap="1" wp14:anchorId="02290587" wp14:editId="3C08D3D6">
            <wp:simplePos x="0" y="0"/>
            <wp:positionH relativeFrom="column">
              <wp:posOffset>3175</wp:posOffset>
            </wp:positionH>
            <wp:positionV relativeFrom="paragraph">
              <wp:posOffset>448807</wp:posOffset>
            </wp:positionV>
            <wp:extent cx="6300000" cy="2458800"/>
            <wp:effectExtent l="0" t="0" r="5715" b="0"/>
            <wp:wrapTight wrapText="bothSides">
              <wp:wrapPolygon edited="0">
                <wp:start x="0" y="0"/>
                <wp:lineTo x="0" y="21421"/>
                <wp:lineTo x="21554" y="21421"/>
                <wp:lineTo x="21554"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00000" cy="245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4783" w:rsidRPr="00DF212D">
        <w:rPr>
          <w:rFonts w:ascii="Century Gothic" w:hAnsi="Century Gothic"/>
          <w:b/>
          <w:bCs/>
          <w:color w:val="44546A"/>
          <w:sz w:val="20"/>
          <w:szCs w:val="20"/>
        </w:rPr>
        <w:t xml:space="preserve">Figure </w:t>
      </w:r>
      <w:r w:rsidR="00924783">
        <w:rPr>
          <w:rFonts w:ascii="Century Gothic" w:hAnsi="Century Gothic"/>
          <w:b/>
          <w:bCs/>
          <w:color w:val="44546A"/>
          <w:sz w:val="20"/>
          <w:szCs w:val="20"/>
        </w:rPr>
        <w:fldChar w:fldCharType="begin"/>
      </w:r>
      <w:r w:rsidR="00924783" w:rsidRPr="00DF212D">
        <w:rPr>
          <w:rFonts w:ascii="Century Gothic" w:hAnsi="Century Gothic"/>
          <w:b/>
          <w:bCs/>
          <w:color w:val="44546A"/>
          <w:sz w:val="20"/>
          <w:szCs w:val="20"/>
        </w:rPr>
        <w:instrText xml:space="preserve"> STYLEREF 1 \s </w:instrText>
      </w:r>
      <w:r w:rsidR="00924783">
        <w:rPr>
          <w:rFonts w:ascii="Century Gothic" w:hAnsi="Century Gothic"/>
          <w:b/>
          <w:bCs/>
          <w:color w:val="44546A"/>
          <w:sz w:val="20"/>
          <w:szCs w:val="20"/>
        </w:rPr>
        <w:fldChar w:fldCharType="separate"/>
      </w:r>
      <w:r w:rsidR="001470A9">
        <w:rPr>
          <w:rFonts w:ascii="Century Gothic" w:hAnsi="Century Gothic" w:hint="cs"/>
          <w:b/>
          <w:bCs/>
          <w:noProof/>
          <w:color w:val="44546A"/>
          <w:sz w:val="20"/>
          <w:szCs w:val="20"/>
          <w:cs/>
        </w:rPr>
        <w:t>‎</w:t>
      </w:r>
      <w:r w:rsidR="001470A9">
        <w:rPr>
          <w:rFonts w:ascii="Century Gothic" w:hAnsi="Century Gothic"/>
          <w:b/>
          <w:bCs/>
          <w:noProof/>
          <w:color w:val="44546A"/>
          <w:sz w:val="20"/>
          <w:szCs w:val="20"/>
        </w:rPr>
        <w:t>3</w:t>
      </w:r>
      <w:r w:rsidR="00924783">
        <w:rPr>
          <w:rFonts w:ascii="Century Gothic" w:hAnsi="Century Gothic"/>
          <w:b/>
          <w:bCs/>
          <w:color w:val="44546A"/>
          <w:sz w:val="20"/>
          <w:szCs w:val="20"/>
        </w:rPr>
        <w:fldChar w:fldCharType="end"/>
      </w:r>
      <w:r w:rsidR="00924783" w:rsidRPr="00DF212D">
        <w:rPr>
          <w:rFonts w:ascii="Century Gothic" w:hAnsi="Century Gothic"/>
          <w:b/>
          <w:bCs/>
          <w:color w:val="44546A"/>
          <w:sz w:val="20"/>
          <w:szCs w:val="20"/>
        </w:rPr>
        <w:t>.</w:t>
      </w:r>
      <w:r w:rsidR="00924783">
        <w:rPr>
          <w:rFonts w:ascii="Century Gothic" w:hAnsi="Century Gothic"/>
          <w:b/>
          <w:bCs/>
          <w:color w:val="44546A"/>
          <w:sz w:val="20"/>
          <w:szCs w:val="20"/>
        </w:rPr>
        <w:fldChar w:fldCharType="begin"/>
      </w:r>
      <w:r w:rsidR="00924783" w:rsidRPr="00DF212D">
        <w:rPr>
          <w:rFonts w:ascii="Century Gothic" w:hAnsi="Century Gothic"/>
          <w:b/>
          <w:bCs/>
          <w:color w:val="44546A"/>
          <w:sz w:val="20"/>
          <w:szCs w:val="20"/>
        </w:rPr>
        <w:instrText xml:space="preserve"> SEQ Figure \* ARABIC \s 1 </w:instrText>
      </w:r>
      <w:r w:rsidR="00924783">
        <w:rPr>
          <w:rFonts w:ascii="Century Gothic" w:hAnsi="Century Gothic"/>
          <w:b/>
          <w:bCs/>
          <w:color w:val="44546A"/>
          <w:sz w:val="20"/>
          <w:szCs w:val="20"/>
        </w:rPr>
        <w:fldChar w:fldCharType="separate"/>
      </w:r>
      <w:r w:rsidR="001470A9">
        <w:rPr>
          <w:rFonts w:ascii="Century Gothic" w:hAnsi="Century Gothic"/>
          <w:b/>
          <w:bCs/>
          <w:noProof/>
          <w:color w:val="44546A"/>
          <w:sz w:val="20"/>
          <w:szCs w:val="20"/>
        </w:rPr>
        <w:t>3</w:t>
      </w:r>
      <w:r w:rsidR="00924783">
        <w:rPr>
          <w:rFonts w:ascii="Century Gothic" w:hAnsi="Century Gothic"/>
          <w:b/>
          <w:bCs/>
          <w:color w:val="44546A"/>
          <w:sz w:val="20"/>
          <w:szCs w:val="20"/>
        </w:rPr>
        <w:fldChar w:fldCharType="end"/>
      </w:r>
      <w:r w:rsidR="00924783" w:rsidRPr="00DF212D">
        <w:rPr>
          <w:rFonts w:ascii="Century Gothic" w:hAnsi="Century Gothic"/>
          <w:b/>
          <w:bCs/>
          <w:color w:val="44546A"/>
          <w:sz w:val="20"/>
          <w:szCs w:val="20"/>
        </w:rPr>
        <w:t xml:space="preserve"> </w:t>
      </w:r>
      <w:r>
        <w:rPr>
          <w:rFonts w:ascii="Century Gothic" w:hAnsi="Century Gothic"/>
          <w:b/>
          <w:bCs/>
          <w:color w:val="44546A"/>
          <w:sz w:val="20"/>
          <w:szCs w:val="20"/>
        </w:rPr>
        <w:t xml:space="preserve">Highest qualification </w:t>
      </w:r>
      <w:r w:rsidR="00D144BC">
        <w:rPr>
          <w:rFonts w:ascii="Century Gothic" w:hAnsi="Century Gothic"/>
          <w:b/>
          <w:bCs/>
          <w:color w:val="44546A"/>
          <w:sz w:val="20"/>
          <w:szCs w:val="20"/>
        </w:rPr>
        <w:t xml:space="preserve">of </w:t>
      </w:r>
      <w:r w:rsidR="001103A8">
        <w:rPr>
          <w:rFonts w:ascii="Century Gothic" w:hAnsi="Century Gothic"/>
          <w:b/>
          <w:bCs/>
          <w:color w:val="44546A"/>
          <w:sz w:val="20"/>
          <w:szCs w:val="20"/>
        </w:rPr>
        <w:t xml:space="preserve">adult </w:t>
      </w:r>
      <w:proofErr w:type="spellStart"/>
      <w:proofErr w:type="gramStart"/>
      <w:r w:rsidR="00E454F5">
        <w:rPr>
          <w:rFonts w:ascii="Century Gothic" w:hAnsi="Century Gothic"/>
          <w:b/>
          <w:bCs/>
          <w:color w:val="44546A"/>
          <w:sz w:val="20"/>
          <w:szCs w:val="20"/>
        </w:rPr>
        <w:t>t</w:t>
      </w:r>
      <w:r w:rsidR="000B60A9">
        <w:rPr>
          <w:rFonts w:ascii="Century Gothic" w:hAnsi="Century Gothic"/>
          <w:b/>
          <w:bCs/>
          <w:color w:val="44546A"/>
          <w:sz w:val="20"/>
          <w:szCs w:val="20"/>
        </w:rPr>
        <w:t>e</w:t>
      </w:r>
      <w:proofErr w:type="spellEnd"/>
      <w:proofErr w:type="gramEnd"/>
      <w:r w:rsidR="000B60A9">
        <w:rPr>
          <w:rFonts w:ascii="Century Gothic" w:hAnsi="Century Gothic"/>
          <w:b/>
          <w:bCs/>
          <w:color w:val="44546A"/>
          <w:sz w:val="20"/>
          <w:szCs w:val="20"/>
        </w:rPr>
        <w:t xml:space="preserve"> reo Māori</w:t>
      </w:r>
      <w:r w:rsidR="001103A8">
        <w:rPr>
          <w:rFonts w:ascii="Century Gothic" w:hAnsi="Century Gothic"/>
          <w:b/>
          <w:bCs/>
          <w:color w:val="44546A"/>
          <w:sz w:val="20"/>
          <w:szCs w:val="20"/>
        </w:rPr>
        <w:t xml:space="preserve"> </w:t>
      </w:r>
      <w:r>
        <w:rPr>
          <w:rFonts w:ascii="Century Gothic" w:hAnsi="Century Gothic"/>
          <w:b/>
          <w:bCs/>
          <w:color w:val="44546A"/>
          <w:sz w:val="20"/>
          <w:szCs w:val="20"/>
        </w:rPr>
        <w:t>speakers</w:t>
      </w:r>
      <w:r w:rsidR="001103A8">
        <w:rPr>
          <w:rFonts w:ascii="Century Gothic" w:hAnsi="Century Gothic"/>
          <w:b/>
          <w:bCs/>
          <w:color w:val="44546A"/>
          <w:sz w:val="20"/>
          <w:szCs w:val="20"/>
        </w:rPr>
        <w:t xml:space="preserve"> aged 15+ years</w:t>
      </w:r>
      <w:r>
        <w:rPr>
          <w:rFonts w:ascii="Century Gothic" w:hAnsi="Century Gothic"/>
          <w:b/>
          <w:bCs/>
          <w:color w:val="44546A"/>
          <w:sz w:val="20"/>
          <w:szCs w:val="20"/>
        </w:rPr>
        <w:t xml:space="preserve">; </w:t>
      </w:r>
      <w:proofErr w:type="spellStart"/>
      <w:r w:rsidR="008B1B8A">
        <w:rPr>
          <w:rFonts w:ascii="Century Gothic" w:hAnsi="Century Gothic"/>
          <w:b/>
          <w:bCs/>
          <w:color w:val="44546A"/>
          <w:sz w:val="20"/>
          <w:szCs w:val="20"/>
        </w:rPr>
        <w:t>Ngāi</w:t>
      </w:r>
      <w:proofErr w:type="spellEnd"/>
      <w:r w:rsidRPr="00DF212D">
        <w:rPr>
          <w:rFonts w:ascii="Century Gothic" w:hAnsi="Century Gothic"/>
          <w:b/>
          <w:bCs/>
          <w:color w:val="44546A"/>
          <w:sz w:val="20"/>
          <w:szCs w:val="20"/>
        </w:rPr>
        <w:t xml:space="preserve"> </w:t>
      </w:r>
      <w:proofErr w:type="spellStart"/>
      <w:r w:rsidRPr="00DF212D">
        <w:rPr>
          <w:rFonts w:ascii="Century Gothic" w:hAnsi="Century Gothic"/>
          <w:b/>
          <w:bCs/>
          <w:color w:val="44546A"/>
          <w:sz w:val="20"/>
          <w:szCs w:val="20"/>
        </w:rPr>
        <w:t>Tāmanuhiri</w:t>
      </w:r>
      <w:proofErr w:type="spellEnd"/>
      <w:r>
        <w:rPr>
          <w:rFonts w:ascii="Century Gothic" w:hAnsi="Century Gothic"/>
          <w:b/>
          <w:bCs/>
          <w:color w:val="44546A"/>
          <w:sz w:val="20"/>
          <w:szCs w:val="20"/>
        </w:rPr>
        <w:t xml:space="preserve"> </w:t>
      </w:r>
      <w:r w:rsidR="002F1D8B">
        <w:rPr>
          <w:rFonts w:ascii="Century Gothic" w:hAnsi="Century Gothic"/>
          <w:b/>
          <w:bCs/>
          <w:color w:val="44546A"/>
          <w:sz w:val="20"/>
          <w:szCs w:val="20"/>
        </w:rPr>
        <w:t xml:space="preserve">and the Māori </w:t>
      </w:r>
      <w:r>
        <w:rPr>
          <w:rFonts w:ascii="Century Gothic" w:hAnsi="Century Gothic"/>
          <w:b/>
          <w:bCs/>
          <w:color w:val="44546A"/>
          <w:sz w:val="20"/>
          <w:szCs w:val="20"/>
        </w:rPr>
        <w:t>descent population; Census 2013</w:t>
      </w:r>
      <w:bookmarkEnd w:id="38"/>
    </w:p>
    <w:p w14:paraId="668C8783" w14:textId="5DAE8FBA" w:rsidR="00387802" w:rsidRDefault="00387802" w:rsidP="00E454F5">
      <w:pPr>
        <w:spacing w:after="0" w:line="360" w:lineRule="auto"/>
        <w:rPr>
          <w:rFonts w:ascii="Century Gothic" w:hAnsi="Century Gothic"/>
          <w:b/>
          <w:bCs/>
          <w:color w:val="44546A"/>
          <w:sz w:val="20"/>
          <w:szCs w:val="20"/>
        </w:rPr>
      </w:pPr>
    </w:p>
    <w:p w14:paraId="2D0E8C62" w14:textId="0ABF5E4E" w:rsidR="00BB1328" w:rsidRPr="00DE7843" w:rsidRDefault="00910DE6" w:rsidP="00BF51CA">
      <w:pPr>
        <w:spacing w:after="0" w:line="360" w:lineRule="auto"/>
        <w:rPr>
          <w:rFonts w:ascii="Century Gothic" w:hAnsi="Century Gothic"/>
          <w:sz w:val="21"/>
          <w:szCs w:val="21"/>
        </w:rPr>
      </w:pPr>
      <w:r w:rsidRPr="00DE7843">
        <w:rPr>
          <w:rFonts w:ascii="Century Gothic" w:hAnsi="Century Gothic"/>
          <w:sz w:val="21"/>
          <w:szCs w:val="21"/>
        </w:rPr>
        <w:t xml:space="preserve">Finally, Figure 3.4 shows the educational profile of </w:t>
      </w:r>
      <w:proofErr w:type="spellStart"/>
      <w:r w:rsidRPr="00DE7843">
        <w:rPr>
          <w:rFonts w:ascii="Century Gothic" w:hAnsi="Century Gothic"/>
          <w:sz w:val="21"/>
          <w:szCs w:val="21"/>
        </w:rPr>
        <w:t>Ngāi</w:t>
      </w:r>
      <w:proofErr w:type="spellEnd"/>
      <w:r w:rsidRPr="00DE7843">
        <w:rPr>
          <w:rFonts w:ascii="Century Gothic" w:hAnsi="Century Gothic"/>
          <w:sz w:val="21"/>
          <w:szCs w:val="21"/>
        </w:rPr>
        <w:t xml:space="preserve"> </w:t>
      </w:r>
      <w:proofErr w:type="spellStart"/>
      <w:r w:rsidRPr="00DE7843">
        <w:rPr>
          <w:rFonts w:ascii="Century Gothic" w:hAnsi="Century Gothic"/>
          <w:sz w:val="21"/>
          <w:szCs w:val="21"/>
        </w:rPr>
        <w:t>Tāmanuhiri</w:t>
      </w:r>
      <w:proofErr w:type="spellEnd"/>
      <w:r w:rsidRPr="00DE7843">
        <w:rPr>
          <w:rFonts w:ascii="Century Gothic" w:hAnsi="Century Gothic"/>
          <w:sz w:val="21"/>
          <w:szCs w:val="21"/>
        </w:rPr>
        <w:t xml:space="preserve"> speakers residing in </w:t>
      </w:r>
      <w:proofErr w:type="spellStart"/>
      <w:r w:rsidRPr="00DE7843">
        <w:rPr>
          <w:rFonts w:ascii="Century Gothic" w:hAnsi="Century Gothic"/>
          <w:sz w:val="21"/>
          <w:szCs w:val="21"/>
        </w:rPr>
        <w:t>Gisborne</w:t>
      </w:r>
      <w:proofErr w:type="spellEnd"/>
      <w:r w:rsidRPr="00DE7843">
        <w:rPr>
          <w:rFonts w:ascii="Century Gothic" w:hAnsi="Century Gothic"/>
          <w:sz w:val="21"/>
          <w:szCs w:val="21"/>
        </w:rPr>
        <w:t xml:space="preserve">, versus the rest of the country. </w:t>
      </w:r>
      <w:r w:rsidR="00BF51CA" w:rsidRPr="00DE7843">
        <w:rPr>
          <w:rFonts w:ascii="Century Gothic" w:hAnsi="Century Gothic"/>
          <w:sz w:val="21"/>
          <w:szCs w:val="21"/>
        </w:rPr>
        <w:t xml:space="preserve">In short, </w:t>
      </w:r>
      <w:proofErr w:type="spellStart"/>
      <w:r w:rsidR="00BF51CA" w:rsidRPr="00DE7843">
        <w:rPr>
          <w:rFonts w:ascii="Century Gothic" w:hAnsi="Century Gothic"/>
          <w:sz w:val="21"/>
          <w:szCs w:val="21"/>
        </w:rPr>
        <w:t>Ngāi</w:t>
      </w:r>
      <w:proofErr w:type="spellEnd"/>
      <w:r w:rsidR="00BF51CA" w:rsidRPr="00DE7843">
        <w:rPr>
          <w:rFonts w:ascii="Century Gothic" w:hAnsi="Century Gothic"/>
          <w:sz w:val="21"/>
          <w:szCs w:val="21"/>
        </w:rPr>
        <w:t xml:space="preserve"> </w:t>
      </w:r>
      <w:proofErr w:type="spellStart"/>
      <w:r w:rsidR="00BF51CA" w:rsidRPr="00DE7843">
        <w:rPr>
          <w:rFonts w:ascii="Century Gothic" w:hAnsi="Century Gothic"/>
          <w:sz w:val="21"/>
          <w:szCs w:val="21"/>
        </w:rPr>
        <w:t>Tāmanuhiri</w:t>
      </w:r>
      <w:proofErr w:type="spellEnd"/>
      <w:r w:rsidR="00BF51CA" w:rsidRPr="00DE7843">
        <w:rPr>
          <w:rFonts w:ascii="Century Gothic" w:hAnsi="Century Gothic"/>
          <w:sz w:val="21"/>
          <w:szCs w:val="21"/>
        </w:rPr>
        <w:t xml:space="preserve"> speakers residing in </w:t>
      </w:r>
      <w:proofErr w:type="spellStart"/>
      <w:r w:rsidR="00BF51CA" w:rsidRPr="00DE7843">
        <w:rPr>
          <w:rFonts w:ascii="Century Gothic" w:hAnsi="Century Gothic"/>
          <w:sz w:val="21"/>
          <w:szCs w:val="21"/>
        </w:rPr>
        <w:t>Gisborne</w:t>
      </w:r>
      <w:proofErr w:type="spellEnd"/>
      <w:r w:rsidR="00BF51CA" w:rsidRPr="00DE7843">
        <w:rPr>
          <w:rFonts w:ascii="Century Gothic" w:hAnsi="Century Gothic"/>
          <w:sz w:val="21"/>
          <w:szCs w:val="21"/>
        </w:rPr>
        <w:t xml:space="preserve"> have a </w:t>
      </w:r>
      <w:r w:rsidR="00B44D8D" w:rsidRPr="00DE7843">
        <w:rPr>
          <w:rFonts w:ascii="Century Gothic" w:hAnsi="Century Gothic"/>
          <w:sz w:val="21"/>
          <w:szCs w:val="21"/>
        </w:rPr>
        <w:t xml:space="preserve">similar educational profile to </w:t>
      </w:r>
      <w:proofErr w:type="spellStart"/>
      <w:proofErr w:type="gramStart"/>
      <w:r w:rsidR="00B44D8D" w:rsidRPr="00DE7843">
        <w:rPr>
          <w:rFonts w:ascii="Century Gothic" w:hAnsi="Century Gothic"/>
          <w:sz w:val="21"/>
          <w:szCs w:val="21"/>
        </w:rPr>
        <w:t>t</w:t>
      </w:r>
      <w:r w:rsidR="00BF51CA" w:rsidRPr="00DE7843">
        <w:rPr>
          <w:rFonts w:ascii="Century Gothic" w:hAnsi="Century Gothic"/>
          <w:sz w:val="21"/>
          <w:szCs w:val="21"/>
        </w:rPr>
        <w:t>e</w:t>
      </w:r>
      <w:proofErr w:type="spellEnd"/>
      <w:proofErr w:type="gramEnd"/>
      <w:r w:rsidR="00BF51CA" w:rsidRPr="00DE7843">
        <w:rPr>
          <w:rFonts w:ascii="Century Gothic" w:hAnsi="Century Gothic"/>
          <w:sz w:val="21"/>
          <w:szCs w:val="21"/>
        </w:rPr>
        <w:t xml:space="preserve"> reo Māori speakers living outside the </w:t>
      </w:r>
      <w:proofErr w:type="spellStart"/>
      <w:r w:rsidR="00BF51CA" w:rsidRPr="00DE7843">
        <w:rPr>
          <w:rFonts w:ascii="Century Gothic" w:hAnsi="Century Gothic"/>
          <w:sz w:val="21"/>
          <w:szCs w:val="21"/>
        </w:rPr>
        <w:t>rohe</w:t>
      </w:r>
      <w:proofErr w:type="spellEnd"/>
      <w:r w:rsidR="00BF51CA" w:rsidRPr="00DE7843">
        <w:rPr>
          <w:rFonts w:ascii="Century Gothic" w:hAnsi="Century Gothic"/>
          <w:sz w:val="21"/>
          <w:szCs w:val="21"/>
        </w:rPr>
        <w:t xml:space="preserve">. </w:t>
      </w:r>
      <w:r w:rsidRPr="00DE7843">
        <w:rPr>
          <w:rFonts w:ascii="Century Gothic" w:hAnsi="Century Gothic"/>
          <w:sz w:val="21"/>
          <w:szCs w:val="21"/>
        </w:rPr>
        <w:t xml:space="preserve">Of the 204 adult </w:t>
      </w:r>
      <w:proofErr w:type="spellStart"/>
      <w:proofErr w:type="gramStart"/>
      <w:r w:rsidR="006208B8" w:rsidRPr="00DE7843">
        <w:rPr>
          <w:rFonts w:ascii="Century Gothic" w:hAnsi="Century Gothic"/>
          <w:sz w:val="21"/>
          <w:szCs w:val="21"/>
        </w:rPr>
        <w:t>t</w:t>
      </w:r>
      <w:r w:rsidR="000B60A9" w:rsidRPr="00DE7843">
        <w:rPr>
          <w:rFonts w:ascii="Century Gothic" w:hAnsi="Century Gothic"/>
          <w:sz w:val="21"/>
          <w:szCs w:val="21"/>
        </w:rPr>
        <w:t>e</w:t>
      </w:r>
      <w:proofErr w:type="spellEnd"/>
      <w:proofErr w:type="gramEnd"/>
      <w:r w:rsidR="000B60A9" w:rsidRPr="00DE7843">
        <w:rPr>
          <w:rFonts w:ascii="Century Gothic" w:hAnsi="Century Gothic"/>
          <w:sz w:val="21"/>
          <w:szCs w:val="21"/>
        </w:rPr>
        <w:t xml:space="preserve"> reo Māori</w:t>
      </w:r>
      <w:r w:rsidRPr="00DE7843">
        <w:rPr>
          <w:rFonts w:ascii="Century Gothic" w:hAnsi="Century Gothic"/>
          <w:sz w:val="21"/>
          <w:szCs w:val="21"/>
        </w:rPr>
        <w:t xml:space="preserve"> speakers living in </w:t>
      </w:r>
      <w:proofErr w:type="spellStart"/>
      <w:r w:rsidRPr="00DE7843">
        <w:rPr>
          <w:rFonts w:ascii="Century Gothic" w:hAnsi="Century Gothic"/>
          <w:sz w:val="21"/>
          <w:szCs w:val="21"/>
        </w:rPr>
        <w:t>Gisborne</w:t>
      </w:r>
      <w:proofErr w:type="spellEnd"/>
      <w:r w:rsidRPr="00DE7843">
        <w:rPr>
          <w:rFonts w:ascii="Century Gothic" w:hAnsi="Century Gothic"/>
          <w:sz w:val="21"/>
          <w:szCs w:val="21"/>
        </w:rPr>
        <w:t xml:space="preserve"> in 2013 (and who answered the education question), just under 21 per cent held at least a Bachelor degree.  </w:t>
      </w:r>
    </w:p>
    <w:p w14:paraId="24BC0267" w14:textId="5A28198B" w:rsidR="00BB1328" w:rsidRDefault="00BB1328" w:rsidP="00E454F5">
      <w:pPr>
        <w:spacing w:after="0" w:line="360" w:lineRule="auto"/>
        <w:rPr>
          <w:rFonts w:ascii="Century Gothic" w:hAnsi="Century Gothic"/>
          <w:b/>
          <w:bCs/>
          <w:color w:val="44546A"/>
          <w:sz w:val="20"/>
          <w:szCs w:val="20"/>
        </w:rPr>
      </w:pPr>
    </w:p>
    <w:p w14:paraId="379B5D8D" w14:textId="53105337" w:rsidR="00D144BC" w:rsidRDefault="00387802" w:rsidP="001103A8">
      <w:pPr>
        <w:spacing w:after="0" w:line="276" w:lineRule="auto"/>
        <w:rPr>
          <w:rFonts w:ascii="Century Gothic" w:hAnsi="Century Gothic"/>
          <w:b/>
          <w:bCs/>
          <w:color w:val="44546A"/>
          <w:sz w:val="20"/>
          <w:szCs w:val="20"/>
        </w:rPr>
      </w:pPr>
      <w:bookmarkStart w:id="39" w:name="_Toc491783077"/>
      <w:r w:rsidRPr="00387802">
        <w:rPr>
          <w:noProof/>
        </w:rPr>
        <w:drawing>
          <wp:anchor distT="0" distB="0" distL="114300" distR="114300" simplePos="0" relativeHeight="252354560" behindDoc="1" locked="0" layoutInCell="1" allowOverlap="1" wp14:anchorId="4091A037" wp14:editId="32D99437">
            <wp:simplePos x="0" y="0"/>
            <wp:positionH relativeFrom="column">
              <wp:posOffset>3175</wp:posOffset>
            </wp:positionH>
            <wp:positionV relativeFrom="paragraph">
              <wp:posOffset>465041</wp:posOffset>
            </wp:positionV>
            <wp:extent cx="6300000" cy="2458800"/>
            <wp:effectExtent l="0" t="0" r="5715" b="0"/>
            <wp:wrapTight wrapText="bothSides">
              <wp:wrapPolygon edited="0">
                <wp:start x="0" y="0"/>
                <wp:lineTo x="0" y="21421"/>
                <wp:lineTo x="21554" y="21421"/>
                <wp:lineTo x="21554"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00000" cy="245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6731" w:rsidRPr="00DF212D">
        <w:rPr>
          <w:rFonts w:ascii="Century Gothic" w:hAnsi="Century Gothic"/>
          <w:b/>
          <w:bCs/>
          <w:color w:val="44546A"/>
          <w:sz w:val="20"/>
          <w:szCs w:val="20"/>
        </w:rPr>
        <w:t xml:space="preserve">Figure </w:t>
      </w:r>
      <w:r w:rsidR="00996731">
        <w:rPr>
          <w:rFonts w:ascii="Century Gothic" w:hAnsi="Century Gothic"/>
          <w:b/>
          <w:bCs/>
          <w:color w:val="44546A"/>
          <w:sz w:val="20"/>
          <w:szCs w:val="20"/>
        </w:rPr>
        <w:fldChar w:fldCharType="begin"/>
      </w:r>
      <w:r w:rsidR="00996731" w:rsidRPr="00DF212D">
        <w:rPr>
          <w:rFonts w:ascii="Century Gothic" w:hAnsi="Century Gothic"/>
          <w:b/>
          <w:bCs/>
          <w:color w:val="44546A"/>
          <w:sz w:val="20"/>
          <w:szCs w:val="20"/>
        </w:rPr>
        <w:instrText xml:space="preserve"> STYLEREF 1 \s </w:instrText>
      </w:r>
      <w:r w:rsidR="00996731">
        <w:rPr>
          <w:rFonts w:ascii="Century Gothic" w:hAnsi="Century Gothic"/>
          <w:b/>
          <w:bCs/>
          <w:color w:val="44546A"/>
          <w:sz w:val="20"/>
          <w:szCs w:val="20"/>
        </w:rPr>
        <w:fldChar w:fldCharType="separate"/>
      </w:r>
      <w:r w:rsidR="001470A9">
        <w:rPr>
          <w:rFonts w:ascii="Century Gothic" w:hAnsi="Century Gothic" w:hint="cs"/>
          <w:b/>
          <w:bCs/>
          <w:noProof/>
          <w:color w:val="44546A"/>
          <w:sz w:val="20"/>
          <w:szCs w:val="20"/>
          <w:cs/>
        </w:rPr>
        <w:t>‎</w:t>
      </w:r>
      <w:r w:rsidR="001470A9">
        <w:rPr>
          <w:rFonts w:ascii="Century Gothic" w:hAnsi="Century Gothic"/>
          <w:b/>
          <w:bCs/>
          <w:noProof/>
          <w:color w:val="44546A"/>
          <w:sz w:val="20"/>
          <w:szCs w:val="20"/>
        </w:rPr>
        <w:t>3</w:t>
      </w:r>
      <w:r w:rsidR="00996731">
        <w:rPr>
          <w:rFonts w:ascii="Century Gothic" w:hAnsi="Century Gothic"/>
          <w:b/>
          <w:bCs/>
          <w:color w:val="44546A"/>
          <w:sz w:val="20"/>
          <w:szCs w:val="20"/>
        </w:rPr>
        <w:fldChar w:fldCharType="end"/>
      </w:r>
      <w:r w:rsidR="00996731" w:rsidRPr="00DF212D">
        <w:rPr>
          <w:rFonts w:ascii="Century Gothic" w:hAnsi="Century Gothic"/>
          <w:b/>
          <w:bCs/>
          <w:color w:val="44546A"/>
          <w:sz w:val="20"/>
          <w:szCs w:val="20"/>
        </w:rPr>
        <w:t>.</w:t>
      </w:r>
      <w:r w:rsidR="00996731">
        <w:rPr>
          <w:rFonts w:ascii="Century Gothic" w:hAnsi="Century Gothic"/>
          <w:b/>
          <w:bCs/>
          <w:color w:val="44546A"/>
          <w:sz w:val="20"/>
          <w:szCs w:val="20"/>
        </w:rPr>
        <w:fldChar w:fldCharType="begin"/>
      </w:r>
      <w:r w:rsidR="00996731" w:rsidRPr="00DF212D">
        <w:rPr>
          <w:rFonts w:ascii="Century Gothic" w:hAnsi="Century Gothic"/>
          <w:b/>
          <w:bCs/>
          <w:color w:val="44546A"/>
          <w:sz w:val="20"/>
          <w:szCs w:val="20"/>
        </w:rPr>
        <w:instrText xml:space="preserve"> SEQ Figure \* ARABIC \s 1 </w:instrText>
      </w:r>
      <w:r w:rsidR="00996731">
        <w:rPr>
          <w:rFonts w:ascii="Century Gothic" w:hAnsi="Century Gothic"/>
          <w:b/>
          <w:bCs/>
          <w:color w:val="44546A"/>
          <w:sz w:val="20"/>
          <w:szCs w:val="20"/>
        </w:rPr>
        <w:fldChar w:fldCharType="separate"/>
      </w:r>
      <w:r w:rsidR="001470A9">
        <w:rPr>
          <w:rFonts w:ascii="Century Gothic" w:hAnsi="Century Gothic"/>
          <w:b/>
          <w:bCs/>
          <w:noProof/>
          <w:color w:val="44546A"/>
          <w:sz w:val="20"/>
          <w:szCs w:val="20"/>
        </w:rPr>
        <w:t>4</w:t>
      </w:r>
      <w:r w:rsidR="00996731">
        <w:rPr>
          <w:rFonts w:ascii="Century Gothic" w:hAnsi="Century Gothic"/>
          <w:b/>
          <w:bCs/>
          <w:color w:val="44546A"/>
          <w:sz w:val="20"/>
          <w:szCs w:val="20"/>
        </w:rPr>
        <w:fldChar w:fldCharType="end"/>
      </w:r>
      <w:r w:rsidR="00996731" w:rsidRPr="00DF212D">
        <w:rPr>
          <w:rFonts w:ascii="Century Gothic" w:hAnsi="Century Gothic"/>
          <w:b/>
          <w:bCs/>
          <w:color w:val="44546A"/>
          <w:sz w:val="20"/>
          <w:szCs w:val="20"/>
        </w:rPr>
        <w:t xml:space="preserve"> </w:t>
      </w:r>
      <w:r>
        <w:rPr>
          <w:rFonts w:ascii="Century Gothic" w:hAnsi="Century Gothic"/>
          <w:b/>
          <w:bCs/>
          <w:color w:val="44546A"/>
          <w:sz w:val="20"/>
          <w:szCs w:val="20"/>
        </w:rPr>
        <w:t xml:space="preserve">Highest qualification of </w:t>
      </w:r>
      <w:r w:rsidR="001103A8">
        <w:rPr>
          <w:rFonts w:ascii="Century Gothic" w:hAnsi="Century Gothic"/>
          <w:b/>
          <w:bCs/>
          <w:color w:val="44546A"/>
          <w:sz w:val="20"/>
          <w:szCs w:val="20"/>
        </w:rPr>
        <w:t>adult</w:t>
      </w:r>
      <w:r>
        <w:rPr>
          <w:rFonts w:ascii="Century Gothic" w:hAnsi="Century Gothic"/>
          <w:b/>
          <w:bCs/>
          <w:color w:val="44546A"/>
          <w:sz w:val="20"/>
          <w:szCs w:val="20"/>
        </w:rPr>
        <w:t xml:space="preserve"> </w:t>
      </w:r>
      <w:proofErr w:type="spellStart"/>
      <w:proofErr w:type="gramStart"/>
      <w:r w:rsidR="00E454F5">
        <w:rPr>
          <w:rFonts w:ascii="Century Gothic" w:hAnsi="Century Gothic"/>
          <w:b/>
          <w:bCs/>
          <w:color w:val="44546A"/>
          <w:sz w:val="20"/>
          <w:szCs w:val="20"/>
        </w:rPr>
        <w:t>t</w:t>
      </w:r>
      <w:r w:rsidR="000B60A9">
        <w:rPr>
          <w:rFonts w:ascii="Century Gothic" w:hAnsi="Century Gothic"/>
          <w:b/>
          <w:bCs/>
          <w:color w:val="44546A"/>
          <w:sz w:val="20"/>
          <w:szCs w:val="20"/>
        </w:rPr>
        <w:t>e</w:t>
      </w:r>
      <w:proofErr w:type="spellEnd"/>
      <w:proofErr w:type="gramEnd"/>
      <w:r w:rsidR="000B60A9">
        <w:rPr>
          <w:rFonts w:ascii="Century Gothic" w:hAnsi="Century Gothic"/>
          <w:b/>
          <w:bCs/>
          <w:color w:val="44546A"/>
          <w:sz w:val="20"/>
          <w:szCs w:val="20"/>
        </w:rPr>
        <w:t xml:space="preserve"> reo Māori</w:t>
      </w:r>
      <w:r w:rsidR="001103A8">
        <w:rPr>
          <w:rFonts w:ascii="Century Gothic" w:hAnsi="Century Gothic"/>
          <w:b/>
          <w:bCs/>
          <w:color w:val="44546A"/>
          <w:sz w:val="20"/>
          <w:szCs w:val="20"/>
        </w:rPr>
        <w:t xml:space="preserve"> speakers; </w:t>
      </w:r>
      <w:proofErr w:type="spellStart"/>
      <w:r w:rsidR="008B1B8A">
        <w:rPr>
          <w:rFonts w:ascii="Century Gothic" w:hAnsi="Century Gothic"/>
          <w:b/>
          <w:bCs/>
          <w:color w:val="44546A"/>
          <w:sz w:val="20"/>
          <w:szCs w:val="20"/>
        </w:rPr>
        <w:t>Ngāi</w:t>
      </w:r>
      <w:proofErr w:type="spellEnd"/>
      <w:r w:rsidR="00D144BC" w:rsidRPr="00DF212D">
        <w:rPr>
          <w:rFonts w:ascii="Century Gothic" w:hAnsi="Century Gothic"/>
          <w:b/>
          <w:bCs/>
          <w:color w:val="44546A"/>
          <w:sz w:val="20"/>
          <w:szCs w:val="20"/>
        </w:rPr>
        <w:t xml:space="preserve"> </w:t>
      </w:r>
      <w:proofErr w:type="spellStart"/>
      <w:r w:rsidR="00D144BC" w:rsidRPr="00DF212D">
        <w:rPr>
          <w:rFonts w:ascii="Century Gothic" w:hAnsi="Century Gothic"/>
          <w:b/>
          <w:bCs/>
          <w:color w:val="44546A"/>
          <w:sz w:val="20"/>
          <w:szCs w:val="20"/>
        </w:rPr>
        <w:t>Tāmanuhiri</w:t>
      </w:r>
      <w:proofErr w:type="spellEnd"/>
      <w:r w:rsidR="001103A8">
        <w:rPr>
          <w:rFonts w:ascii="Century Gothic" w:hAnsi="Century Gothic"/>
          <w:b/>
          <w:bCs/>
          <w:color w:val="44546A"/>
          <w:sz w:val="20"/>
          <w:szCs w:val="20"/>
        </w:rPr>
        <w:t xml:space="preserve"> </w:t>
      </w:r>
      <w:r w:rsidR="00D144BC">
        <w:rPr>
          <w:rFonts w:ascii="Century Gothic" w:hAnsi="Century Gothic"/>
          <w:b/>
          <w:bCs/>
          <w:color w:val="44546A"/>
          <w:sz w:val="20"/>
          <w:szCs w:val="20"/>
        </w:rPr>
        <w:t xml:space="preserve">resident in </w:t>
      </w:r>
      <w:proofErr w:type="spellStart"/>
      <w:r w:rsidR="00D144BC">
        <w:rPr>
          <w:rFonts w:ascii="Century Gothic" w:hAnsi="Century Gothic"/>
          <w:b/>
          <w:bCs/>
          <w:color w:val="44546A"/>
          <w:sz w:val="20"/>
          <w:szCs w:val="20"/>
        </w:rPr>
        <w:t>G</w:t>
      </w:r>
      <w:r>
        <w:rPr>
          <w:rFonts w:ascii="Century Gothic" w:hAnsi="Century Gothic"/>
          <w:b/>
          <w:bCs/>
          <w:color w:val="44546A"/>
          <w:sz w:val="20"/>
          <w:szCs w:val="20"/>
        </w:rPr>
        <w:t>isborne</w:t>
      </w:r>
      <w:proofErr w:type="spellEnd"/>
      <w:r>
        <w:rPr>
          <w:rFonts w:ascii="Century Gothic" w:hAnsi="Century Gothic"/>
          <w:b/>
          <w:bCs/>
          <w:color w:val="44546A"/>
          <w:sz w:val="20"/>
          <w:szCs w:val="20"/>
        </w:rPr>
        <w:t xml:space="preserve"> and rest of New Zealand</w:t>
      </w:r>
      <w:r w:rsidR="00D144BC">
        <w:rPr>
          <w:rFonts w:ascii="Century Gothic" w:hAnsi="Century Gothic"/>
          <w:b/>
          <w:bCs/>
          <w:color w:val="44546A"/>
          <w:sz w:val="20"/>
          <w:szCs w:val="20"/>
        </w:rPr>
        <w:t>; Census 2013</w:t>
      </w:r>
      <w:bookmarkEnd w:id="39"/>
    </w:p>
    <w:p w14:paraId="527E64CB" w14:textId="1DB7631C" w:rsidR="00996731" w:rsidRDefault="00996731" w:rsidP="00996731">
      <w:pPr>
        <w:spacing w:after="0" w:line="276" w:lineRule="auto"/>
        <w:rPr>
          <w:rFonts w:ascii="Century Gothic" w:hAnsi="Century Gothic"/>
          <w:b/>
          <w:bCs/>
          <w:color w:val="44546A"/>
          <w:sz w:val="20"/>
          <w:szCs w:val="20"/>
        </w:rPr>
      </w:pPr>
    </w:p>
    <w:p w14:paraId="6E1077CA" w14:textId="500BA7B8" w:rsidR="00BB1328" w:rsidRDefault="00BB1328" w:rsidP="006001B0">
      <w:pPr>
        <w:spacing w:after="0" w:line="276" w:lineRule="auto"/>
        <w:rPr>
          <w:rFonts w:ascii="Century Gothic" w:hAnsi="Century Gothic"/>
          <w:b/>
          <w:bCs/>
          <w:color w:val="44546A"/>
          <w:sz w:val="20"/>
          <w:szCs w:val="20"/>
        </w:rPr>
      </w:pPr>
    </w:p>
    <w:p w14:paraId="68127193" w14:textId="77777777" w:rsidR="00910DE6" w:rsidRDefault="00910DE6" w:rsidP="006001B0">
      <w:pPr>
        <w:spacing w:after="0" w:line="276" w:lineRule="auto"/>
        <w:rPr>
          <w:rFonts w:ascii="Century Gothic" w:hAnsi="Century Gothic"/>
          <w:b/>
          <w:bCs/>
          <w:color w:val="44546A"/>
          <w:sz w:val="20"/>
          <w:szCs w:val="20"/>
        </w:rPr>
      </w:pPr>
    </w:p>
    <w:p w14:paraId="269BF5E3" w14:textId="77777777" w:rsidR="00910DE6" w:rsidRDefault="00910DE6" w:rsidP="006001B0">
      <w:pPr>
        <w:spacing w:after="0" w:line="276" w:lineRule="auto"/>
        <w:rPr>
          <w:rFonts w:ascii="Century Gothic" w:hAnsi="Century Gothic"/>
          <w:b/>
          <w:bCs/>
          <w:color w:val="44546A"/>
          <w:sz w:val="20"/>
          <w:szCs w:val="20"/>
        </w:rPr>
      </w:pPr>
    </w:p>
    <w:p w14:paraId="41B84D8D" w14:textId="77777777" w:rsidR="00E454F5" w:rsidRDefault="00E454F5" w:rsidP="006001B0">
      <w:pPr>
        <w:spacing w:after="0" w:line="276" w:lineRule="auto"/>
        <w:rPr>
          <w:rFonts w:ascii="Century Gothic" w:hAnsi="Century Gothic"/>
          <w:b/>
          <w:bCs/>
          <w:color w:val="44546A"/>
          <w:sz w:val="20"/>
          <w:szCs w:val="20"/>
        </w:rPr>
      </w:pPr>
    </w:p>
    <w:p w14:paraId="3FBA6436" w14:textId="7760BB53" w:rsidR="0058608C" w:rsidRPr="00871BA9" w:rsidRDefault="0058608C" w:rsidP="0065189F">
      <w:pPr>
        <w:pStyle w:val="Heading1"/>
        <w:numPr>
          <w:ilvl w:val="0"/>
          <w:numId w:val="2"/>
        </w:numPr>
        <w:shd w:val="clear" w:color="auto" w:fill="3DA5BD"/>
        <w:spacing w:after="120"/>
        <w:ind w:left="360"/>
        <w:rPr>
          <w:rFonts w:ascii="Century Gothic" w:hAnsi="Century Gothic"/>
          <w:b/>
          <w:bCs/>
          <w:color w:val="FFFFFF" w:themeColor="background1"/>
        </w:rPr>
      </w:pPr>
      <w:bookmarkStart w:id="40" w:name="_Toc491783050"/>
      <w:r>
        <w:rPr>
          <w:rFonts w:ascii="Century Gothic" w:hAnsi="Century Gothic"/>
          <w:b/>
          <w:bCs/>
          <w:color w:val="FFFFFF" w:themeColor="background1"/>
        </w:rPr>
        <w:lastRenderedPageBreak/>
        <w:t>Work and labour force status</w:t>
      </w:r>
      <w:bookmarkEnd w:id="40"/>
    </w:p>
    <w:p w14:paraId="663E24E0" w14:textId="77777777" w:rsidR="003579AA" w:rsidRDefault="003579AA" w:rsidP="003579AA">
      <w:pPr>
        <w:spacing w:after="0" w:line="360" w:lineRule="auto"/>
        <w:rPr>
          <w:rFonts w:ascii="Century Gothic" w:hAnsi="Century Gothic"/>
          <w:sz w:val="21"/>
          <w:szCs w:val="21"/>
        </w:rPr>
      </w:pPr>
    </w:p>
    <w:p w14:paraId="71D4639C" w14:textId="67EF4C57" w:rsidR="00BE33F1" w:rsidRDefault="003579AA" w:rsidP="00BF51CA">
      <w:pPr>
        <w:spacing w:after="0" w:line="360" w:lineRule="auto"/>
        <w:rPr>
          <w:rFonts w:ascii="Century Gothic" w:hAnsi="Century Gothic"/>
          <w:sz w:val="21"/>
          <w:szCs w:val="21"/>
        </w:rPr>
      </w:pPr>
      <w:r>
        <w:rPr>
          <w:rFonts w:ascii="Century Gothic" w:hAnsi="Century Gothic"/>
          <w:sz w:val="21"/>
          <w:szCs w:val="21"/>
        </w:rPr>
        <w:t>As with</w:t>
      </w:r>
      <w:r w:rsidR="009522FF" w:rsidRPr="009522FF">
        <w:rPr>
          <w:rFonts w:ascii="Century Gothic" w:hAnsi="Century Gothic"/>
          <w:sz w:val="21"/>
          <w:szCs w:val="21"/>
        </w:rPr>
        <w:t xml:space="preserve"> education, work status and occupation </w:t>
      </w:r>
      <w:r w:rsidR="00910DE6" w:rsidRPr="009522FF">
        <w:rPr>
          <w:rFonts w:ascii="Century Gothic" w:hAnsi="Century Gothic"/>
          <w:sz w:val="21"/>
          <w:szCs w:val="21"/>
        </w:rPr>
        <w:t xml:space="preserve">are key factors that influence individual and </w:t>
      </w:r>
      <w:proofErr w:type="spellStart"/>
      <w:r w:rsidR="00910DE6" w:rsidRPr="009522FF">
        <w:rPr>
          <w:rFonts w:ascii="Century Gothic" w:hAnsi="Century Gothic"/>
          <w:sz w:val="21"/>
          <w:szCs w:val="21"/>
        </w:rPr>
        <w:t>whānau</w:t>
      </w:r>
      <w:proofErr w:type="spellEnd"/>
      <w:r w:rsidR="00910DE6" w:rsidRPr="009522FF">
        <w:rPr>
          <w:rFonts w:ascii="Century Gothic" w:hAnsi="Century Gothic"/>
          <w:sz w:val="21"/>
          <w:szCs w:val="21"/>
        </w:rPr>
        <w:t xml:space="preserve"> living standards. </w:t>
      </w:r>
      <w:r w:rsidR="00BE33F1">
        <w:rPr>
          <w:rFonts w:ascii="Century Gothic" w:hAnsi="Century Gothic"/>
          <w:sz w:val="21"/>
          <w:szCs w:val="21"/>
        </w:rPr>
        <w:t xml:space="preserve"> In this section we consider labour force participation, employment rates and employment status. We are unable to look at </w:t>
      </w:r>
      <w:r w:rsidR="00BE33F1" w:rsidRPr="00D7639F">
        <w:rPr>
          <w:rFonts w:ascii="Century Gothic" w:hAnsi="Century Gothic"/>
          <w:sz w:val="21"/>
          <w:szCs w:val="21"/>
          <w:u w:val="single"/>
        </w:rPr>
        <w:t>under</w:t>
      </w:r>
      <w:r w:rsidR="00BE33F1">
        <w:rPr>
          <w:rFonts w:ascii="Century Gothic" w:hAnsi="Century Gothic"/>
          <w:sz w:val="21"/>
          <w:szCs w:val="21"/>
        </w:rPr>
        <w:t xml:space="preserve">employment – </w:t>
      </w:r>
      <w:r w:rsidR="00D7639F">
        <w:rPr>
          <w:rFonts w:ascii="Century Gothic" w:hAnsi="Century Gothic"/>
          <w:sz w:val="21"/>
          <w:szCs w:val="21"/>
        </w:rPr>
        <w:t xml:space="preserve">when individuals </w:t>
      </w:r>
      <w:r w:rsidR="00BE33F1">
        <w:rPr>
          <w:rFonts w:ascii="Century Gothic" w:hAnsi="Century Gothic"/>
          <w:sz w:val="21"/>
          <w:szCs w:val="21"/>
        </w:rPr>
        <w:t xml:space="preserve">face a partial lack of work – because those data come from the Household Labour Force Survey which does not </w:t>
      </w:r>
      <w:r w:rsidR="00BF51CA">
        <w:rPr>
          <w:rFonts w:ascii="Century Gothic" w:hAnsi="Century Gothic"/>
          <w:sz w:val="21"/>
          <w:szCs w:val="21"/>
        </w:rPr>
        <w:t>include an iwi identifier</w:t>
      </w:r>
      <w:r w:rsidR="00BE33F1">
        <w:rPr>
          <w:rFonts w:ascii="Century Gothic" w:hAnsi="Century Gothic"/>
          <w:sz w:val="21"/>
          <w:szCs w:val="21"/>
        </w:rPr>
        <w:t>.</w:t>
      </w:r>
      <w:r w:rsidR="00D7639F">
        <w:rPr>
          <w:rFonts w:ascii="Century Gothic" w:hAnsi="Century Gothic"/>
          <w:sz w:val="21"/>
          <w:szCs w:val="21"/>
        </w:rPr>
        <w:t xml:space="preserve"> However</w:t>
      </w:r>
      <w:r w:rsidR="00BF51CA">
        <w:rPr>
          <w:rFonts w:ascii="Century Gothic" w:hAnsi="Century Gothic"/>
          <w:sz w:val="21"/>
          <w:szCs w:val="21"/>
        </w:rPr>
        <w:t>, even if it did, the Māori sample would be too small to generate iwi statistics for any but the largest iwi.</w:t>
      </w:r>
    </w:p>
    <w:p w14:paraId="66A7F8B2" w14:textId="77777777" w:rsidR="00BE33F1" w:rsidRDefault="00BE33F1" w:rsidP="008E7DF6">
      <w:pPr>
        <w:spacing w:after="0" w:line="360" w:lineRule="auto"/>
        <w:rPr>
          <w:rFonts w:ascii="Century Gothic" w:hAnsi="Century Gothic"/>
          <w:sz w:val="21"/>
          <w:szCs w:val="21"/>
        </w:rPr>
      </w:pPr>
    </w:p>
    <w:p w14:paraId="77E3FB52" w14:textId="56840093" w:rsidR="00BF51CA" w:rsidRDefault="00910DE6" w:rsidP="00E454F5">
      <w:pPr>
        <w:spacing w:after="0" w:line="360" w:lineRule="auto"/>
        <w:rPr>
          <w:rFonts w:ascii="Century Gothic" w:hAnsi="Century Gothic"/>
          <w:bCs/>
          <w:sz w:val="21"/>
          <w:szCs w:val="21"/>
        </w:rPr>
      </w:pPr>
      <w:r w:rsidRPr="009522FF">
        <w:rPr>
          <w:rFonts w:ascii="Century Gothic" w:hAnsi="Century Gothic"/>
          <w:sz w:val="21"/>
          <w:szCs w:val="21"/>
        </w:rPr>
        <w:t xml:space="preserve">In </w:t>
      </w:r>
      <w:r w:rsidR="00E21892">
        <w:rPr>
          <w:rFonts w:ascii="Century Gothic" w:hAnsi="Century Gothic"/>
          <w:sz w:val="21"/>
          <w:szCs w:val="21"/>
        </w:rPr>
        <w:t xml:space="preserve">2013, </w:t>
      </w:r>
      <w:r w:rsidR="006208B8">
        <w:rPr>
          <w:rFonts w:ascii="Century Gothic" w:hAnsi="Century Gothic"/>
          <w:sz w:val="21"/>
          <w:szCs w:val="21"/>
        </w:rPr>
        <w:t>just over a quarter (27 per cent)</w:t>
      </w:r>
      <w:r w:rsidR="00E21892">
        <w:rPr>
          <w:rFonts w:ascii="Century Gothic" w:hAnsi="Century Gothic"/>
          <w:sz w:val="21"/>
          <w:szCs w:val="21"/>
        </w:rPr>
        <w:t xml:space="preserve"> of </w:t>
      </w:r>
      <w:proofErr w:type="spellStart"/>
      <w:r w:rsidRPr="009522FF">
        <w:rPr>
          <w:rFonts w:ascii="Century Gothic" w:hAnsi="Century Gothic"/>
          <w:sz w:val="21"/>
          <w:szCs w:val="21"/>
        </w:rPr>
        <w:t>Ngāi</w:t>
      </w:r>
      <w:proofErr w:type="spellEnd"/>
      <w:r w:rsidRPr="009522FF">
        <w:rPr>
          <w:rFonts w:ascii="Century Gothic" w:hAnsi="Century Gothic"/>
          <w:sz w:val="21"/>
          <w:szCs w:val="21"/>
        </w:rPr>
        <w:t xml:space="preserve"> </w:t>
      </w:r>
      <w:proofErr w:type="spellStart"/>
      <w:r w:rsidRPr="009522FF">
        <w:rPr>
          <w:rFonts w:ascii="Century Gothic" w:hAnsi="Century Gothic"/>
          <w:sz w:val="21"/>
          <w:szCs w:val="21"/>
        </w:rPr>
        <w:t>Tāmanuhiri</w:t>
      </w:r>
      <w:proofErr w:type="spellEnd"/>
      <w:r w:rsidRPr="009522FF">
        <w:rPr>
          <w:rFonts w:ascii="Century Gothic" w:hAnsi="Century Gothic"/>
          <w:sz w:val="21"/>
          <w:szCs w:val="21"/>
        </w:rPr>
        <w:t xml:space="preserve"> were </w:t>
      </w:r>
      <w:r w:rsidR="003579AA">
        <w:rPr>
          <w:rFonts w:ascii="Century Gothic" w:hAnsi="Century Gothic"/>
          <w:sz w:val="21"/>
          <w:szCs w:val="21"/>
        </w:rPr>
        <w:t>not participating in</w:t>
      </w:r>
      <w:r w:rsidRPr="009522FF">
        <w:rPr>
          <w:rFonts w:ascii="Century Gothic" w:hAnsi="Century Gothic"/>
          <w:sz w:val="21"/>
          <w:szCs w:val="21"/>
        </w:rPr>
        <w:t xml:space="preserve"> </w:t>
      </w:r>
      <w:r w:rsidR="003579AA">
        <w:rPr>
          <w:rFonts w:ascii="Century Gothic" w:hAnsi="Century Gothic"/>
          <w:sz w:val="21"/>
          <w:szCs w:val="21"/>
        </w:rPr>
        <w:t xml:space="preserve">the labour force - </w:t>
      </w:r>
      <w:r w:rsidRPr="009522FF">
        <w:rPr>
          <w:rFonts w:ascii="Century Gothic" w:hAnsi="Century Gothic"/>
          <w:sz w:val="21"/>
          <w:szCs w:val="21"/>
        </w:rPr>
        <w:t xml:space="preserve">the labour force comprises those individuals who are employed, as well as those who are </w:t>
      </w:r>
      <w:r w:rsidRPr="009522FF">
        <w:rPr>
          <w:rFonts w:ascii="Century Gothic" w:eastAsia="Times New Roman" w:hAnsi="Century Gothic" w:cs="Arial"/>
          <w:sz w:val="21"/>
          <w:szCs w:val="21"/>
        </w:rPr>
        <w:t>not employed but are actively seeking work</w:t>
      </w:r>
      <w:r w:rsidR="003579AA">
        <w:rPr>
          <w:rFonts w:ascii="Century Gothic" w:hAnsi="Century Gothic"/>
          <w:bCs/>
          <w:sz w:val="21"/>
          <w:szCs w:val="21"/>
        </w:rPr>
        <w:t>.</w:t>
      </w:r>
      <w:r w:rsidR="003579AA">
        <w:rPr>
          <w:rStyle w:val="FootnoteReference"/>
          <w:rFonts w:ascii="Century Gothic" w:hAnsi="Century Gothic"/>
          <w:bCs/>
          <w:sz w:val="21"/>
          <w:szCs w:val="21"/>
        </w:rPr>
        <w:footnoteReference w:id="11"/>
      </w:r>
      <w:r w:rsidR="003579AA">
        <w:rPr>
          <w:rFonts w:ascii="Century Gothic" w:hAnsi="Century Gothic"/>
          <w:bCs/>
          <w:sz w:val="21"/>
          <w:szCs w:val="21"/>
        </w:rPr>
        <w:t xml:space="preserve"> There are a range of reasons why some adults are not in the labour force; many are unpaid caregivers </w:t>
      </w:r>
      <w:r w:rsidR="00D7639F">
        <w:rPr>
          <w:rFonts w:ascii="Century Gothic" w:hAnsi="Century Gothic"/>
          <w:bCs/>
          <w:sz w:val="21"/>
          <w:szCs w:val="21"/>
        </w:rPr>
        <w:t xml:space="preserve">for </w:t>
      </w:r>
      <w:proofErr w:type="spellStart"/>
      <w:r w:rsidR="00D7639F">
        <w:rPr>
          <w:rFonts w:ascii="Century Gothic" w:hAnsi="Century Gothic"/>
          <w:bCs/>
          <w:sz w:val="21"/>
          <w:szCs w:val="21"/>
        </w:rPr>
        <w:t>tamariki</w:t>
      </w:r>
      <w:proofErr w:type="spellEnd"/>
      <w:r w:rsidR="00D7639F">
        <w:rPr>
          <w:rFonts w:ascii="Century Gothic" w:hAnsi="Century Gothic"/>
          <w:bCs/>
          <w:sz w:val="21"/>
          <w:szCs w:val="21"/>
        </w:rPr>
        <w:t xml:space="preserve"> or </w:t>
      </w:r>
      <w:proofErr w:type="spellStart"/>
      <w:r w:rsidR="00D7639F">
        <w:rPr>
          <w:rFonts w:ascii="Century Gothic" w:hAnsi="Century Gothic"/>
          <w:bCs/>
          <w:sz w:val="21"/>
          <w:szCs w:val="21"/>
        </w:rPr>
        <w:t>whā</w:t>
      </w:r>
      <w:r w:rsidR="00BF51CA">
        <w:rPr>
          <w:rFonts w:ascii="Century Gothic" w:hAnsi="Century Gothic"/>
          <w:bCs/>
          <w:sz w:val="21"/>
          <w:szCs w:val="21"/>
        </w:rPr>
        <w:t>nau</w:t>
      </w:r>
      <w:proofErr w:type="spellEnd"/>
      <w:r w:rsidR="00BF51CA">
        <w:rPr>
          <w:rFonts w:ascii="Century Gothic" w:hAnsi="Century Gothic"/>
          <w:bCs/>
          <w:sz w:val="21"/>
          <w:szCs w:val="21"/>
        </w:rPr>
        <w:t xml:space="preserve">; those at </w:t>
      </w:r>
      <w:proofErr w:type="spellStart"/>
      <w:r w:rsidR="00BF51CA">
        <w:rPr>
          <w:rFonts w:ascii="Century Gothic" w:hAnsi="Century Gothic"/>
          <w:bCs/>
          <w:sz w:val="21"/>
          <w:szCs w:val="21"/>
        </w:rPr>
        <w:t>kaumātua</w:t>
      </w:r>
      <w:proofErr w:type="spellEnd"/>
      <w:r w:rsidR="00BF51CA">
        <w:rPr>
          <w:rFonts w:ascii="Century Gothic" w:hAnsi="Century Gothic"/>
          <w:bCs/>
          <w:sz w:val="21"/>
          <w:szCs w:val="21"/>
        </w:rPr>
        <w:t xml:space="preserve"> </w:t>
      </w:r>
      <w:r w:rsidR="00D7639F">
        <w:rPr>
          <w:rFonts w:ascii="Century Gothic" w:hAnsi="Century Gothic"/>
          <w:bCs/>
          <w:sz w:val="21"/>
          <w:szCs w:val="21"/>
        </w:rPr>
        <w:t>ages are typically retired</w:t>
      </w:r>
      <w:r w:rsidR="003579AA">
        <w:rPr>
          <w:rFonts w:ascii="Century Gothic" w:hAnsi="Century Gothic"/>
          <w:bCs/>
          <w:sz w:val="21"/>
          <w:szCs w:val="21"/>
        </w:rPr>
        <w:t xml:space="preserve">; others are ‘discouraged workers’ who are </w:t>
      </w:r>
      <w:r w:rsidR="00D7639F">
        <w:rPr>
          <w:rFonts w:ascii="Century Gothic" w:hAnsi="Century Gothic"/>
          <w:bCs/>
          <w:sz w:val="21"/>
          <w:szCs w:val="21"/>
        </w:rPr>
        <w:t>n</w:t>
      </w:r>
      <w:r w:rsidR="003579AA">
        <w:rPr>
          <w:rFonts w:ascii="Century Gothic" w:hAnsi="Century Gothic"/>
          <w:bCs/>
          <w:sz w:val="21"/>
          <w:szCs w:val="21"/>
        </w:rPr>
        <w:t xml:space="preserve">either employed nor actively seeking work. </w:t>
      </w:r>
    </w:p>
    <w:p w14:paraId="68B31A9C" w14:textId="77777777" w:rsidR="00BF51CA" w:rsidRDefault="00BF51CA" w:rsidP="00BF51CA">
      <w:pPr>
        <w:spacing w:after="0" w:line="360" w:lineRule="auto"/>
        <w:rPr>
          <w:rFonts w:ascii="Century Gothic" w:hAnsi="Century Gothic"/>
          <w:bCs/>
          <w:sz w:val="21"/>
          <w:szCs w:val="21"/>
        </w:rPr>
      </w:pPr>
    </w:p>
    <w:p w14:paraId="04E7F030" w14:textId="2D65D1C7" w:rsidR="003579AA" w:rsidRDefault="00E21892" w:rsidP="00E454F5">
      <w:pPr>
        <w:spacing w:after="0" w:line="360" w:lineRule="auto"/>
        <w:rPr>
          <w:rFonts w:ascii="Century Gothic" w:hAnsi="Century Gothic"/>
          <w:bCs/>
          <w:sz w:val="21"/>
          <w:szCs w:val="21"/>
        </w:rPr>
      </w:pPr>
      <w:r>
        <w:rPr>
          <w:rFonts w:ascii="Century Gothic" w:hAnsi="Century Gothic"/>
          <w:bCs/>
          <w:sz w:val="21"/>
          <w:szCs w:val="21"/>
        </w:rPr>
        <w:t xml:space="preserve">The share of </w:t>
      </w:r>
      <w:proofErr w:type="spellStart"/>
      <w:r>
        <w:rPr>
          <w:rFonts w:ascii="Century Gothic" w:hAnsi="Century Gothic"/>
          <w:bCs/>
          <w:sz w:val="21"/>
          <w:szCs w:val="21"/>
        </w:rPr>
        <w:t>Ngāi</w:t>
      </w:r>
      <w:proofErr w:type="spellEnd"/>
      <w:r>
        <w:rPr>
          <w:rFonts w:ascii="Century Gothic" w:hAnsi="Century Gothic"/>
          <w:bCs/>
          <w:sz w:val="21"/>
          <w:szCs w:val="21"/>
        </w:rPr>
        <w:t xml:space="preserve"> </w:t>
      </w:r>
      <w:proofErr w:type="spellStart"/>
      <w:r>
        <w:rPr>
          <w:rFonts w:ascii="Century Gothic" w:hAnsi="Century Gothic"/>
          <w:bCs/>
          <w:sz w:val="21"/>
          <w:szCs w:val="21"/>
        </w:rPr>
        <w:t>Tāmanuhiri</w:t>
      </w:r>
      <w:proofErr w:type="spellEnd"/>
      <w:r w:rsidR="003579AA">
        <w:rPr>
          <w:rFonts w:ascii="Century Gothic" w:hAnsi="Century Gothic"/>
          <w:bCs/>
          <w:sz w:val="21"/>
          <w:szCs w:val="21"/>
        </w:rPr>
        <w:t xml:space="preserve"> </w:t>
      </w:r>
      <w:r w:rsidR="00ED72AD">
        <w:rPr>
          <w:rFonts w:ascii="Century Gothic" w:hAnsi="Century Gothic"/>
          <w:bCs/>
          <w:sz w:val="21"/>
          <w:szCs w:val="21"/>
        </w:rPr>
        <w:t>outside the</w:t>
      </w:r>
      <w:r w:rsidR="003579AA">
        <w:rPr>
          <w:rFonts w:ascii="Century Gothic" w:hAnsi="Century Gothic"/>
          <w:bCs/>
          <w:sz w:val="21"/>
          <w:szCs w:val="21"/>
        </w:rPr>
        <w:t xml:space="preserve"> labour force in 2013 </w:t>
      </w:r>
      <w:r w:rsidR="009522FF" w:rsidRPr="009522FF">
        <w:rPr>
          <w:rFonts w:ascii="Century Gothic" w:hAnsi="Century Gothic"/>
          <w:bCs/>
          <w:sz w:val="21"/>
          <w:szCs w:val="21"/>
        </w:rPr>
        <w:t xml:space="preserve">closely reflected the national Māori pattern but </w:t>
      </w:r>
      <w:r w:rsidR="00E454F5">
        <w:rPr>
          <w:rFonts w:ascii="Century Gothic" w:hAnsi="Century Gothic"/>
          <w:bCs/>
          <w:sz w:val="21"/>
          <w:szCs w:val="21"/>
        </w:rPr>
        <w:t>had risen slightly compared with</w:t>
      </w:r>
      <w:r w:rsidR="009522FF" w:rsidRPr="009522FF">
        <w:rPr>
          <w:rFonts w:ascii="Century Gothic" w:hAnsi="Century Gothic"/>
          <w:bCs/>
          <w:sz w:val="21"/>
          <w:szCs w:val="21"/>
        </w:rPr>
        <w:t xml:space="preserve"> 2006</w:t>
      </w:r>
      <w:r w:rsidR="00910DE6" w:rsidRPr="009522FF">
        <w:rPr>
          <w:rFonts w:ascii="Century Gothic" w:hAnsi="Century Gothic"/>
          <w:bCs/>
          <w:sz w:val="21"/>
          <w:szCs w:val="21"/>
        </w:rPr>
        <w:t>.</w:t>
      </w:r>
      <w:r w:rsidR="003579AA">
        <w:rPr>
          <w:rFonts w:ascii="Century Gothic" w:hAnsi="Century Gothic"/>
          <w:bCs/>
          <w:sz w:val="21"/>
          <w:szCs w:val="21"/>
        </w:rPr>
        <w:t xml:space="preserve"> </w:t>
      </w:r>
      <w:proofErr w:type="spellStart"/>
      <w:r w:rsidR="008E7DF6">
        <w:rPr>
          <w:rFonts w:ascii="Century Gothic" w:hAnsi="Century Gothic"/>
          <w:bCs/>
          <w:sz w:val="21"/>
          <w:szCs w:val="21"/>
        </w:rPr>
        <w:t>Ngāi</w:t>
      </w:r>
      <w:proofErr w:type="spellEnd"/>
      <w:r w:rsidR="008E7DF6">
        <w:rPr>
          <w:rFonts w:ascii="Century Gothic" w:hAnsi="Century Gothic"/>
          <w:bCs/>
          <w:sz w:val="21"/>
          <w:szCs w:val="21"/>
        </w:rPr>
        <w:t xml:space="preserve"> </w:t>
      </w:r>
      <w:proofErr w:type="spellStart"/>
      <w:r w:rsidR="008E7DF6">
        <w:rPr>
          <w:rFonts w:ascii="Century Gothic" w:hAnsi="Century Gothic"/>
          <w:bCs/>
          <w:sz w:val="21"/>
          <w:szCs w:val="21"/>
        </w:rPr>
        <w:t>Tāmanuhiri</w:t>
      </w:r>
      <w:proofErr w:type="spellEnd"/>
      <w:r>
        <w:rPr>
          <w:rFonts w:ascii="Century Gothic" w:hAnsi="Century Gothic"/>
          <w:bCs/>
          <w:sz w:val="21"/>
          <w:szCs w:val="21"/>
        </w:rPr>
        <w:t xml:space="preserve"> living in </w:t>
      </w:r>
      <w:proofErr w:type="spellStart"/>
      <w:r>
        <w:rPr>
          <w:rFonts w:ascii="Century Gothic" w:hAnsi="Century Gothic"/>
          <w:bCs/>
          <w:sz w:val="21"/>
          <w:szCs w:val="21"/>
        </w:rPr>
        <w:t>Gisborne</w:t>
      </w:r>
      <w:proofErr w:type="spellEnd"/>
      <w:r>
        <w:rPr>
          <w:rFonts w:ascii="Century Gothic" w:hAnsi="Century Gothic"/>
          <w:bCs/>
          <w:sz w:val="21"/>
          <w:szCs w:val="21"/>
        </w:rPr>
        <w:t xml:space="preserve"> had a slightly higher percentage outside the labour force (</w:t>
      </w:r>
      <w:r w:rsidR="00EB6AD0">
        <w:rPr>
          <w:rFonts w:ascii="Century Gothic" w:hAnsi="Century Gothic"/>
          <w:bCs/>
          <w:sz w:val="21"/>
          <w:szCs w:val="21"/>
        </w:rPr>
        <w:t xml:space="preserve">33.5 per cent) </w:t>
      </w:r>
      <w:r>
        <w:rPr>
          <w:rFonts w:ascii="Century Gothic" w:hAnsi="Century Gothic"/>
          <w:bCs/>
          <w:sz w:val="21"/>
          <w:szCs w:val="21"/>
        </w:rPr>
        <w:t xml:space="preserve">than </w:t>
      </w:r>
      <w:r w:rsidR="00D7639F">
        <w:rPr>
          <w:rFonts w:ascii="Century Gothic" w:hAnsi="Century Gothic"/>
          <w:bCs/>
          <w:sz w:val="21"/>
          <w:szCs w:val="21"/>
        </w:rPr>
        <w:t>in the</w:t>
      </w:r>
      <w:r w:rsidR="008E7DF6">
        <w:rPr>
          <w:rFonts w:ascii="Century Gothic" w:hAnsi="Century Gothic"/>
          <w:bCs/>
          <w:sz w:val="21"/>
          <w:szCs w:val="21"/>
        </w:rPr>
        <w:t xml:space="preserve"> rest of the country</w:t>
      </w:r>
      <w:r>
        <w:rPr>
          <w:rFonts w:ascii="Century Gothic" w:hAnsi="Century Gothic"/>
          <w:bCs/>
          <w:sz w:val="21"/>
          <w:szCs w:val="21"/>
        </w:rPr>
        <w:t>.</w:t>
      </w:r>
      <w:r w:rsidR="00AB2005">
        <w:rPr>
          <w:rFonts w:ascii="Century Gothic" w:hAnsi="Century Gothic"/>
          <w:bCs/>
          <w:sz w:val="21"/>
          <w:szCs w:val="21"/>
        </w:rPr>
        <w:t xml:space="preserve"> Fig</w:t>
      </w:r>
      <w:r w:rsidR="00D7639F">
        <w:rPr>
          <w:rFonts w:ascii="Century Gothic" w:hAnsi="Century Gothic"/>
          <w:bCs/>
          <w:sz w:val="21"/>
          <w:szCs w:val="21"/>
        </w:rPr>
        <w:t>ure 4.2 shows that th</w:t>
      </w:r>
      <w:r w:rsidR="00AB2005">
        <w:rPr>
          <w:rFonts w:ascii="Century Gothic" w:hAnsi="Century Gothic"/>
          <w:bCs/>
          <w:sz w:val="21"/>
          <w:szCs w:val="21"/>
        </w:rPr>
        <w:t xml:space="preserve">e labour force status of </w:t>
      </w:r>
      <w:proofErr w:type="spellStart"/>
      <w:r w:rsidR="00AB2005">
        <w:rPr>
          <w:rFonts w:ascii="Century Gothic" w:hAnsi="Century Gothic"/>
          <w:bCs/>
          <w:sz w:val="21"/>
          <w:szCs w:val="21"/>
        </w:rPr>
        <w:t>Ngāi</w:t>
      </w:r>
      <w:proofErr w:type="spellEnd"/>
      <w:r w:rsidR="00AB2005">
        <w:rPr>
          <w:rFonts w:ascii="Century Gothic" w:hAnsi="Century Gothic"/>
          <w:bCs/>
          <w:sz w:val="21"/>
          <w:szCs w:val="21"/>
        </w:rPr>
        <w:t xml:space="preserve"> </w:t>
      </w:r>
      <w:proofErr w:type="spellStart"/>
      <w:r w:rsidR="00AB2005">
        <w:rPr>
          <w:rFonts w:ascii="Century Gothic" w:hAnsi="Century Gothic"/>
          <w:bCs/>
          <w:sz w:val="21"/>
          <w:szCs w:val="21"/>
        </w:rPr>
        <w:t>Tāmanuhiri</w:t>
      </w:r>
      <w:proofErr w:type="spellEnd"/>
      <w:r w:rsidR="00AB2005">
        <w:rPr>
          <w:rFonts w:ascii="Century Gothic" w:hAnsi="Century Gothic"/>
          <w:bCs/>
          <w:sz w:val="21"/>
          <w:szCs w:val="21"/>
        </w:rPr>
        <w:t xml:space="preserve"> </w:t>
      </w:r>
      <w:r w:rsidR="00D7639F">
        <w:rPr>
          <w:rFonts w:ascii="Century Gothic" w:hAnsi="Century Gothic"/>
          <w:bCs/>
          <w:sz w:val="21"/>
          <w:szCs w:val="21"/>
        </w:rPr>
        <w:t xml:space="preserve">speakers </w:t>
      </w:r>
      <w:r w:rsidR="00482514">
        <w:rPr>
          <w:rFonts w:ascii="Century Gothic" w:hAnsi="Century Gothic"/>
          <w:bCs/>
          <w:sz w:val="21"/>
          <w:szCs w:val="21"/>
        </w:rPr>
        <w:t xml:space="preserve">in 2013 </w:t>
      </w:r>
      <w:r w:rsidR="00D7639F">
        <w:rPr>
          <w:rFonts w:ascii="Century Gothic" w:hAnsi="Century Gothic"/>
          <w:bCs/>
          <w:sz w:val="21"/>
          <w:szCs w:val="21"/>
        </w:rPr>
        <w:t>was almost exa</w:t>
      </w:r>
      <w:r w:rsidR="00AB2005">
        <w:rPr>
          <w:rFonts w:ascii="Century Gothic" w:hAnsi="Century Gothic"/>
          <w:bCs/>
          <w:sz w:val="21"/>
          <w:szCs w:val="21"/>
        </w:rPr>
        <w:t>ctly the same as the iwi overall</w:t>
      </w:r>
      <w:r w:rsidR="009A43DB">
        <w:rPr>
          <w:rFonts w:ascii="Century Gothic" w:hAnsi="Century Gothic"/>
          <w:bCs/>
          <w:sz w:val="21"/>
          <w:szCs w:val="21"/>
        </w:rPr>
        <w:t>.</w:t>
      </w:r>
    </w:p>
    <w:p w14:paraId="3C0EE76B" w14:textId="1D3EE89A" w:rsidR="00797132" w:rsidRDefault="00797132" w:rsidP="001B5D34">
      <w:pPr>
        <w:spacing w:after="0" w:line="360" w:lineRule="auto"/>
        <w:rPr>
          <w:rFonts w:ascii="Century Gothic" w:hAnsi="Century Gothic"/>
          <w:b/>
          <w:bCs/>
          <w:color w:val="44546A"/>
          <w:sz w:val="20"/>
          <w:szCs w:val="20"/>
        </w:rPr>
      </w:pPr>
    </w:p>
    <w:p w14:paraId="33B15885" w14:textId="5AC62841" w:rsidR="00D144BC" w:rsidRPr="00DF212D" w:rsidRDefault="00D144BC" w:rsidP="00E454F5">
      <w:pPr>
        <w:spacing w:after="0" w:line="276" w:lineRule="auto"/>
        <w:rPr>
          <w:rFonts w:ascii="Century Gothic" w:eastAsiaTheme="majorEastAsia" w:hAnsi="Century Gothic" w:cstheme="majorBidi"/>
          <w:b/>
          <w:bCs/>
          <w:color w:val="4EAFC6"/>
          <w:sz w:val="21"/>
          <w:szCs w:val="21"/>
          <w:lang w:eastAsia="en-US"/>
        </w:rPr>
      </w:pPr>
      <w:bookmarkStart w:id="41" w:name="_Toc491783078"/>
      <w:r w:rsidRPr="00DF212D">
        <w:rPr>
          <w:rFonts w:ascii="Century Gothic" w:hAnsi="Century Gothic"/>
          <w:b/>
          <w:bCs/>
          <w:color w:val="44546A"/>
          <w:sz w:val="20"/>
          <w:szCs w:val="20"/>
        </w:rPr>
        <w:t xml:space="preserve">Figure </w:t>
      </w:r>
      <w:r>
        <w:rPr>
          <w:rFonts w:ascii="Century Gothic" w:hAnsi="Century Gothic"/>
          <w:b/>
          <w:bCs/>
          <w:color w:val="44546A"/>
          <w:sz w:val="20"/>
          <w:szCs w:val="20"/>
        </w:rPr>
        <w:fldChar w:fldCharType="begin"/>
      </w:r>
      <w:r w:rsidRPr="00DF212D">
        <w:rPr>
          <w:rFonts w:ascii="Century Gothic" w:hAnsi="Century Gothic"/>
          <w:b/>
          <w:bCs/>
          <w:color w:val="44546A"/>
          <w:sz w:val="20"/>
          <w:szCs w:val="20"/>
        </w:rPr>
        <w:instrText xml:space="preserve"> STYLEREF 1 \s </w:instrText>
      </w:r>
      <w:r>
        <w:rPr>
          <w:rFonts w:ascii="Century Gothic" w:hAnsi="Century Gothic"/>
          <w:b/>
          <w:bCs/>
          <w:color w:val="44546A"/>
          <w:sz w:val="20"/>
          <w:szCs w:val="20"/>
        </w:rPr>
        <w:fldChar w:fldCharType="separate"/>
      </w:r>
      <w:r w:rsidR="001470A9">
        <w:rPr>
          <w:rFonts w:ascii="Century Gothic" w:hAnsi="Century Gothic" w:hint="cs"/>
          <w:b/>
          <w:bCs/>
          <w:noProof/>
          <w:color w:val="44546A"/>
          <w:sz w:val="20"/>
          <w:szCs w:val="20"/>
          <w:cs/>
        </w:rPr>
        <w:t>‎</w:t>
      </w:r>
      <w:r w:rsidR="001470A9">
        <w:rPr>
          <w:rFonts w:ascii="Century Gothic" w:hAnsi="Century Gothic"/>
          <w:b/>
          <w:bCs/>
          <w:noProof/>
          <w:color w:val="44546A"/>
          <w:sz w:val="20"/>
          <w:szCs w:val="20"/>
        </w:rPr>
        <w:t>4</w:t>
      </w:r>
      <w:r>
        <w:rPr>
          <w:rFonts w:ascii="Century Gothic" w:hAnsi="Century Gothic"/>
          <w:b/>
          <w:bCs/>
          <w:color w:val="44546A"/>
          <w:sz w:val="20"/>
          <w:szCs w:val="20"/>
        </w:rPr>
        <w:fldChar w:fldCharType="end"/>
      </w:r>
      <w:r w:rsidRPr="00DF212D">
        <w:rPr>
          <w:rFonts w:ascii="Century Gothic" w:hAnsi="Century Gothic"/>
          <w:b/>
          <w:bCs/>
          <w:color w:val="44546A"/>
          <w:sz w:val="20"/>
          <w:szCs w:val="20"/>
        </w:rPr>
        <w:t>.</w:t>
      </w:r>
      <w:r>
        <w:rPr>
          <w:rFonts w:ascii="Century Gothic" w:hAnsi="Century Gothic"/>
          <w:b/>
          <w:bCs/>
          <w:color w:val="44546A"/>
          <w:sz w:val="20"/>
          <w:szCs w:val="20"/>
        </w:rPr>
        <w:fldChar w:fldCharType="begin"/>
      </w:r>
      <w:r w:rsidRPr="00DF212D">
        <w:rPr>
          <w:rFonts w:ascii="Century Gothic" w:hAnsi="Century Gothic"/>
          <w:b/>
          <w:bCs/>
          <w:color w:val="44546A"/>
          <w:sz w:val="20"/>
          <w:szCs w:val="20"/>
        </w:rPr>
        <w:instrText xml:space="preserve"> SEQ Figure \* ARABIC \s 1 </w:instrText>
      </w:r>
      <w:r>
        <w:rPr>
          <w:rFonts w:ascii="Century Gothic" w:hAnsi="Century Gothic"/>
          <w:b/>
          <w:bCs/>
          <w:color w:val="44546A"/>
          <w:sz w:val="20"/>
          <w:szCs w:val="20"/>
        </w:rPr>
        <w:fldChar w:fldCharType="separate"/>
      </w:r>
      <w:r w:rsidR="001470A9">
        <w:rPr>
          <w:rFonts w:ascii="Century Gothic" w:hAnsi="Century Gothic"/>
          <w:b/>
          <w:bCs/>
          <w:noProof/>
          <w:color w:val="44546A"/>
          <w:sz w:val="20"/>
          <w:szCs w:val="20"/>
        </w:rPr>
        <w:t>1</w:t>
      </w:r>
      <w:r>
        <w:rPr>
          <w:rFonts w:ascii="Century Gothic" w:hAnsi="Century Gothic"/>
          <w:b/>
          <w:bCs/>
          <w:color w:val="44546A"/>
          <w:sz w:val="20"/>
          <w:szCs w:val="20"/>
        </w:rPr>
        <w:fldChar w:fldCharType="end"/>
      </w:r>
      <w:r w:rsidRPr="00DF212D">
        <w:rPr>
          <w:rFonts w:ascii="Century Gothic" w:hAnsi="Century Gothic"/>
          <w:b/>
          <w:bCs/>
          <w:color w:val="44546A"/>
          <w:sz w:val="20"/>
          <w:szCs w:val="20"/>
        </w:rPr>
        <w:t xml:space="preserve"> </w:t>
      </w:r>
      <w:r w:rsidR="00331FF2">
        <w:rPr>
          <w:rFonts w:ascii="Century Gothic" w:hAnsi="Century Gothic"/>
          <w:b/>
          <w:bCs/>
          <w:color w:val="44546A"/>
          <w:sz w:val="20"/>
          <w:szCs w:val="20"/>
        </w:rPr>
        <w:t>L</w:t>
      </w:r>
      <w:r>
        <w:rPr>
          <w:rFonts w:ascii="Century Gothic" w:hAnsi="Century Gothic"/>
          <w:b/>
          <w:bCs/>
          <w:color w:val="44546A"/>
          <w:sz w:val="20"/>
          <w:szCs w:val="20"/>
        </w:rPr>
        <w:t xml:space="preserve">abour force status of </w:t>
      </w:r>
      <w:proofErr w:type="spellStart"/>
      <w:r w:rsidR="008B1B8A">
        <w:rPr>
          <w:rFonts w:ascii="Century Gothic" w:hAnsi="Century Gothic"/>
          <w:b/>
          <w:bCs/>
          <w:color w:val="44546A"/>
          <w:sz w:val="20"/>
          <w:szCs w:val="20"/>
        </w:rPr>
        <w:t>Ngāi</w:t>
      </w:r>
      <w:proofErr w:type="spellEnd"/>
      <w:r w:rsidRPr="00DF212D">
        <w:rPr>
          <w:rFonts w:ascii="Century Gothic" w:hAnsi="Century Gothic"/>
          <w:b/>
          <w:bCs/>
          <w:color w:val="44546A"/>
          <w:sz w:val="20"/>
          <w:szCs w:val="20"/>
        </w:rPr>
        <w:t xml:space="preserve"> </w:t>
      </w:r>
      <w:proofErr w:type="spellStart"/>
      <w:r w:rsidRPr="00DF212D">
        <w:rPr>
          <w:rFonts w:ascii="Century Gothic" w:hAnsi="Century Gothic"/>
          <w:b/>
          <w:bCs/>
          <w:color w:val="44546A"/>
          <w:sz w:val="20"/>
          <w:szCs w:val="20"/>
        </w:rPr>
        <w:t>Tāmanuhiri</w:t>
      </w:r>
      <w:proofErr w:type="spellEnd"/>
      <w:r w:rsidR="001103A8">
        <w:rPr>
          <w:rFonts w:ascii="Century Gothic" w:hAnsi="Century Gothic"/>
          <w:b/>
          <w:bCs/>
          <w:color w:val="44546A"/>
          <w:sz w:val="20"/>
          <w:szCs w:val="20"/>
        </w:rPr>
        <w:t xml:space="preserve">, </w:t>
      </w:r>
      <w:proofErr w:type="spellStart"/>
      <w:r w:rsidR="001103A8">
        <w:rPr>
          <w:rFonts w:ascii="Century Gothic" w:hAnsi="Century Gothic"/>
          <w:b/>
          <w:bCs/>
          <w:color w:val="44546A"/>
          <w:sz w:val="20"/>
          <w:szCs w:val="20"/>
        </w:rPr>
        <w:t>Ngāi</w:t>
      </w:r>
      <w:proofErr w:type="spellEnd"/>
      <w:r w:rsidR="001103A8">
        <w:rPr>
          <w:rFonts w:ascii="Century Gothic" w:hAnsi="Century Gothic"/>
          <w:b/>
          <w:bCs/>
          <w:color w:val="44546A"/>
          <w:sz w:val="20"/>
          <w:szCs w:val="20"/>
        </w:rPr>
        <w:t xml:space="preserve"> </w:t>
      </w:r>
      <w:proofErr w:type="spellStart"/>
      <w:r w:rsidR="001103A8">
        <w:rPr>
          <w:rFonts w:ascii="Century Gothic" w:hAnsi="Century Gothic"/>
          <w:b/>
          <w:bCs/>
          <w:color w:val="44546A"/>
          <w:sz w:val="20"/>
          <w:szCs w:val="20"/>
        </w:rPr>
        <w:t>Tāmanuhiri</w:t>
      </w:r>
      <w:proofErr w:type="spellEnd"/>
      <w:r w:rsidR="001103A8">
        <w:rPr>
          <w:rFonts w:ascii="Century Gothic" w:hAnsi="Century Gothic"/>
          <w:b/>
          <w:bCs/>
          <w:color w:val="44546A"/>
          <w:sz w:val="20"/>
          <w:szCs w:val="20"/>
        </w:rPr>
        <w:t xml:space="preserve"> resident in </w:t>
      </w:r>
      <w:proofErr w:type="spellStart"/>
      <w:r w:rsidR="001103A8">
        <w:rPr>
          <w:rFonts w:ascii="Century Gothic" w:hAnsi="Century Gothic"/>
          <w:b/>
          <w:bCs/>
          <w:color w:val="44546A"/>
          <w:sz w:val="20"/>
          <w:szCs w:val="20"/>
        </w:rPr>
        <w:t>Gisborne</w:t>
      </w:r>
      <w:proofErr w:type="spellEnd"/>
      <w:r w:rsidR="001103A8">
        <w:rPr>
          <w:rFonts w:ascii="Century Gothic" w:hAnsi="Century Gothic"/>
          <w:b/>
          <w:bCs/>
          <w:color w:val="44546A"/>
          <w:sz w:val="20"/>
          <w:szCs w:val="20"/>
        </w:rPr>
        <w:t xml:space="preserve">, and </w:t>
      </w:r>
      <w:r w:rsidR="000608E4">
        <w:rPr>
          <w:rFonts w:ascii="Century Gothic" w:hAnsi="Century Gothic"/>
          <w:b/>
          <w:bCs/>
          <w:color w:val="44546A"/>
          <w:sz w:val="20"/>
          <w:szCs w:val="20"/>
        </w:rPr>
        <w:t>the total M</w:t>
      </w:r>
      <w:r w:rsidR="00E454F5">
        <w:rPr>
          <w:rFonts w:ascii="Century Gothic" w:hAnsi="Century Gothic"/>
          <w:b/>
          <w:bCs/>
          <w:color w:val="44546A"/>
          <w:sz w:val="20"/>
          <w:szCs w:val="20"/>
        </w:rPr>
        <w:t>ā</w:t>
      </w:r>
      <w:r w:rsidR="000608E4">
        <w:rPr>
          <w:rFonts w:ascii="Century Gothic" w:hAnsi="Century Gothic"/>
          <w:b/>
          <w:bCs/>
          <w:color w:val="44546A"/>
          <w:sz w:val="20"/>
          <w:szCs w:val="20"/>
        </w:rPr>
        <w:t>ori descent population</w:t>
      </w:r>
      <w:r>
        <w:rPr>
          <w:rFonts w:ascii="Century Gothic" w:hAnsi="Century Gothic"/>
          <w:b/>
          <w:bCs/>
          <w:color w:val="44546A"/>
          <w:sz w:val="20"/>
          <w:szCs w:val="20"/>
        </w:rPr>
        <w:t xml:space="preserve">; </w:t>
      </w:r>
      <w:r w:rsidR="00356CFA">
        <w:rPr>
          <w:rFonts w:ascii="Century Gothic" w:hAnsi="Century Gothic"/>
          <w:b/>
          <w:bCs/>
          <w:color w:val="44546A"/>
          <w:sz w:val="20"/>
          <w:szCs w:val="20"/>
        </w:rPr>
        <w:t>adults aged 15-64 years</w:t>
      </w:r>
      <w:r w:rsidR="001103A8">
        <w:rPr>
          <w:rFonts w:ascii="Century Gothic" w:hAnsi="Century Gothic"/>
          <w:b/>
          <w:bCs/>
          <w:color w:val="44546A"/>
          <w:sz w:val="20"/>
          <w:szCs w:val="20"/>
        </w:rPr>
        <w:t xml:space="preserve">; </w:t>
      </w:r>
      <w:r>
        <w:rPr>
          <w:rFonts w:ascii="Century Gothic" w:hAnsi="Century Gothic"/>
          <w:b/>
          <w:bCs/>
          <w:color w:val="44546A"/>
          <w:sz w:val="20"/>
          <w:szCs w:val="20"/>
        </w:rPr>
        <w:t>2006 and 2013 Censuses</w:t>
      </w:r>
      <w:bookmarkEnd w:id="41"/>
    </w:p>
    <w:p w14:paraId="359DBDE9" w14:textId="65802326" w:rsidR="00D144BC" w:rsidRDefault="0065189F" w:rsidP="00D144BC">
      <w:pPr>
        <w:spacing w:after="0" w:line="276" w:lineRule="auto"/>
        <w:rPr>
          <w:rFonts w:ascii="Century Gothic" w:hAnsi="Century Gothic"/>
          <w:b/>
          <w:bCs/>
          <w:color w:val="44546A"/>
          <w:sz w:val="20"/>
          <w:szCs w:val="20"/>
        </w:rPr>
      </w:pPr>
      <w:r>
        <w:rPr>
          <w:rFonts w:ascii="Century Gothic" w:hAnsi="Century Gothic"/>
          <w:b/>
          <w:bCs/>
          <w:noProof/>
          <w:color w:val="44546A"/>
          <w:sz w:val="20"/>
          <w:szCs w:val="20"/>
        </w:rPr>
        <w:drawing>
          <wp:anchor distT="0" distB="0" distL="114300" distR="114300" simplePos="0" relativeHeight="252374016" behindDoc="1" locked="0" layoutInCell="1" allowOverlap="1" wp14:anchorId="2FA969A6" wp14:editId="0BC6E3DB">
            <wp:simplePos x="0" y="0"/>
            <wp:positionH relativeFrom="margin">
              <wp:align>left</wp:align>
            </wp:positionH>
            <wp:positionV relativeFrom="paragraph">
              <wp:posOffset>44229</wp:posOffset>
            </wp:positionV>
            <wp:extent cx="5925600" cy="2336400"/>
            <wp:effectExtent l="0" t="0" r="0" b="6985"/>
            <wp:wrapTight wrapText="bothSides">
              <wp:wrapPolygon edited="0">
                <wp:start x="0" y="0"/>
                <wp:lineTo x="0" y="21488"/>
                <wp:lineTo x="21528" y="21488"/>
                <wp:lineTo x="21528" y="0"/>
                <wp:lineTo x="0" y="0"/>
              </wp:wrapPolygon>
            </wp:wrapTight>
            <wp:docPr id="17" name="Picture 17" descr="C:\Users\tahuk\Desktop\l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huk\Desktop\lfs.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25600" cy="233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B5414" w14:textId="0E7EA58F" w:rsidR="00D144BC" w:rsidRDefault="00D144BC" w:rsidP="00D144BC">
      <w:pPr>
        <w:spacing w:after="0" w:line="276" w:lineRule="auto"/>
        <w:rPr>
          <w:rFonts w:ascii="Century Gothic" w:hAnsi="Century Gothic"/>
          <w:b/>
          <w:bCs/>
          <w:color w:val="44546A"/>
          <w:sz w:val="20"/>
          <w:szCs w:val="20"/>
        </w:rPr>
      </w:pPr>
    </w:p>
    <w:p w14:paraId="1F258B90" w14:textId="69BBD24F" w:rsidR="00D144BC" w:rsidRDefault="00D144BC" w:rsidP="00D144BC">
      <w:pPr>
        <w:spacing w:after="0" w:line="276" w:lineRule="auto"/>
        <w:rPr>
          <w:rFonts w:ascii="Century Gothic" w:hAnsi="Century Gothic"/>
          <w:b/>
          <w:bCs/>
          <w:color w:val="44546A"/>
          <w:sz w:val="20"/>
          <w:szCs w:val="20"/>
        </w:rPr>
      </w:pPr>
    </w:p>
    <w:p w14:paraId="7E67D65F" w14:textId="12F3246A" w:rsidR="00D144BC" w:rsidRDefault="00D144BC" w:rsidP="00D144BC">
      <w:pPr>
        <w:spacing w:after="0" w:line="276" w:lineRule="auto"/>
        <w:rPr>
          <w:rFonts w:ascii="Century Gothic" w:hAnsi="Century Gothic"/>
          <w:b/>
          <w:bCs/>
          <w:color w:val="44546A"/>
          <w:sz w:val="20"/>
          <w:szCs w:val="20"/>
        </w:rPr>
      </w:pPr>
    </w:p>
    <w:p w14:paraId="0BBF3CF9" w14:textId="5AA9D900" w:rsidR="00D144BC" w:rsidRDefault="00D144BC" w:rsidP="00D144BC">
      <w:pPr>
        <w:spacing w:after="0" w:line="276" w:lineRule="auto"/>
        <w:rPr>
          <w:rFonts w:ascii="Century Gothic" w:hAnsi="Century Gothic"/>
          <w:b/>
          <w:bCs/>
          <w:color w:val="44546A"/>
          <w:sz w:val="20"/>
          <w:szCs w:val="20"/>
        </w:rPr>
      </w:pPr>
    </w:p>
    <w:p w14:paraId="699942D4" w14:textId="055018C3" w:rsidR="008E7DF6" w:rsidRDefault="008E7DF6" w:rsidP="001B5D34">
      <w:pPr>
        <w:spacing w:after="0" w:line="276" w:lineRule="auto"/>
        <w:rPr>
          <w:rFonts w:ascii="Century Gothic" w:hAnsi="Century Gothic"/>
          <w:b/>
          <w:bCs/>
          <w:color w:val="44546A"/>
          <w:sz w:val="20"/>
          <w:szCs w:val="20"/>
        </w:rPr>
      </w:pPr>
      <w:bookmarkStart w:id="42" w:name="_Toc491783079"/>
      <w:r w:rsidRPr="00DF212D">
        <w:rPr>
          <w:rFonts w:ascii="Century Gothic" w:hAnsi="Century Gothic"/>
          <w:b/>
          <w:bCs/>
          <w:color w:val="44546A"/>
          <w:sz w:val="20"/>
          <w:szCs w:val="20"/>
        </w:rPr>
        <w:lastRenderedPageBreak/>
        <w:t xml:space="preserve">Figure </w:t>
      </w:r>
      <w:r>
        <w:rPr>
          <w:rFonts w:ascii="Century Gothic" w:hAnsi="Century Gothic"/>
          <w:b/>
          <w:bCs/>
          <w:color w:val="44546A"/>
          <w:sz w:val="20"/>
          <w:szCs w:val="20"/>
        </w:rPr>
        <w:fldChar w:fldCharType="begin"/>
      </w:r>
      <w:r w:rsidRPr="00DF212D">
        <w:rPr>
          <w:rFonts w:ascii="Century Gothic" w:hAnsi="Century Gothic"/>
          <w:b/>
          <w:bCs/>
          <w:color w:val="44546A"/>
          <w:sz w:val="20"/>
          <w:szCs w:val="20"/>
        </w:rPr>
        <w:instrText xml:space="preserve"> STYLEREF 1 \s </w:instrText>
      </w:r>
      <w:r>
        <w:rPr>
          <w:rFonts w:ascii="Century Gothic" w:hAnsi="Century Gothic"/>
          <w:b/>
          <w:bCs/>
          <w:color w:val="44546A"/>
          <w:sz w:val="20"/>
          <w:szCs w:val="20"/>
        </w:rPr>
        <w:fldChar w:fldCharType="separate"/>
      </w:r>
      <w:r w:rsidR="001470A9">
        <w:rPr>
          <w:rFonts w:ascii="Century Gothic" w:hAnsi="Century Gothic" w:hint="cs"/>
          <w:b/>
          <w:bCs/>
          <w:noProof/>
          <w:color w:val="44546A"/>
          <w:sz w:val="20"/>
          <w:szCs w:val="20"/>
          <w:cs/>
        </w:rPr>
        <w:t>‎</w:t>
      </w:r>
      <w:r w:rsidR="001470A9">
        <w:rPr>
          <w:rFonts w:ascii="Century Gothic" w:hAnsi="Century Gothic"/>
          <w:b/>
          <w:bCs/>
          <w:noProof/>
          <w:color w:val="44546A"/>
          <w:sz w:val="20"/>
          <w:szCs w:val="20"/>
        </w:rPr>
        <w:t>4</w:t>
      </w:r>
      <w:r>
        <w:rPr>
          <w:rFonts w:ascii="Century Gothic" w:hAnsi="Century Gothic"/>
          <w:b/>
          <w:bCs/>
          <w:color w:val="44546A"/>
          <w:sz w:val="20"/>
          <w:szCs w:val="20"/>
        </w:rPr>
        <w:fldChar w:fldCharType="end"/>
      </w:r>
      <w:r w:rsidRPr="00DF212D">
        <w:rPr>
          <w:rFonts w:ascii="Century Gothic" w:hAnsi="Century Gothic"/>
          <w:b/>
          <w:bCs/>
          <w:color w:val="44546A"/>
          <w:sz w:val="20"/>
          <w:szCs w:val="20"/>
        </w:rPr>
        <w:t>.</w:t>
      </w:r>
      <w:r>
        <w:rPr>
          <w:rFonts w:ascii="Century Gothic" w:hAnsi="Century Gothic"/>
          <w:b/>
          <w:bCs/>
          <w:color w:val="44546A"/>
          <w:sz w:val="20"/>
          <w:szCs w:val="20"/>
        </w:rPr>
        <w:fldChar w:fldCharType="begin"/>
      </w:r>
      <w:r w:rsidRPr="00DF212D">
        <w:rPr>
          <w:rFonts w:ascii="Century Gothic" w:hAnsi="Century Gothic"/>
          <w:b/>
          <w:bCs/>
          <w:color w:val="44546A"/>
          <w:sz w:val="20"/>
          <w:szCs w:val="20"/>
        </w:rPr>
        <w:instrText xml:space="preserve"> SEQ Figure \* ARABIC \s 1 </w:instrText>
      </w:r>
      <w:r>
        <w:rPr>
          <w:rFonts w:ascii="Century Gothic" w:hAnsi="Century Gothic"/>
          <w:b/>
          <w:bCs/>
          <w:color w:val="44546A"/>
          <w:sz w:val="20"/>
          <w:szCs w:val="20"/>
        </w:rPr>
        <w:fldChar w:fldCharType="separate"/>
      </w:r>
      <w:r w:rsidR="001470A9">
        <w:rPr>
          <w:rFonts w:ascii="Century Gothic" w:hAnsi="Century Gothic"/>
          <w:b/>
          <w:bCs/>
          <w:noProof/>
          <w:color w:val="44546A"/>
          <w:sz w:val="20"/>
          <w:szCs w:val="20"/>
        </w:rPr>
        <w:t>2</w:t>
      </w:r>
      <w:r>
        <w:rPr>
          <w:rFonts w:ascii="Century Gothic" w:hAnsi="Century Gothic"/>
          <w:b/>
          <w:bCs/>
          <w:color w:val="44546A"/>
          <w:sz w:val="20"/>
          <w:szCs w:val="20"/>
        </w:rPr>
        <w:fldChar w:fldCharType="end"/>
      </w:r>
      <w:r w:rsidRPr="00DF212D">
        <w:rPr>
          <w:rFonts w:ascii="Century Gothic" w:hAnsi="Century Gothic"/>
          <w:b/>
          <w:bCs/>
          <w:color w:val="44546A"/>
          <w:sz w:val="20"/>
          <w:szCs w:val="20"/>
        </w:rPr>
        <w:t xml:space="preserve"> </w:t>
      </w:r>
      <w:r>
        <w:rPr>
          <w:rFonts w:ascii="Century Gothic" w:hAnsi="Century Gothic"/>
          <w:b/>
          <w:bCs/>
          <w:color w:val="44546A"/>
          <w:sz w:val="20"/>
          <w:szCs w:val="20"/>
        </w:rPr>
        <w:t xml:space="preserve">Labour force status of </w:t>
      </w:r>
      <w:proofErr w:type="spellStart"/>
      <w:proofErr w:type="gramStart"/>
      <w:r w:rsidR="001B5D34">
        <w:rPr>
          <w:rFonts w:ascii="Century Gothic" w:hAnsi="Century Gothic"/>
          <w:b/>
          <w:bCs/>
          <w:color w:val="44546A"/>
          <w:sz w:val="20"/>
          <w:szCs w:val="20"/>
        </w:rPr>
        <w:t>t</w:t>
      </w:r>
      <w:r w:rsidR="000B60A9">
        <w:rPr>
          <w:rFonts w:ascii="Century Gothic" w:hAnsi="Century Gothic"/>
          <w:b/>
          <w:bCs/>
          <w:color w:val="44546A"/>
          <w:sz w:val="20"/>
          <w:szCs w:val="20"/>
        </w:rPr>
        <w:t>e</w:t>
      </w:r>
      <w:proofErr w:type="spellEnd"/>
      <w:proofErr w:type="gramEnd"/>
      <w:r w:rsidR="000B60A9">
        <w:rPr>
          <w:rFonts w:ascii="Century Gothic" w:hAnsi="Century Gothic"/>
          <w:b/>
          <w:bCs/>
          <w:color w:val="44546A"/>
          <w:sz w:val="20"/>
          <w:szCs w:val="20"/>
        </w:rPr>
        <w:t xml:space="preserve"> reo Māori</w:t>
      </w:r>
      <w:r>
        <w:rPr>
          <w:rFonts w:ascii="Century Gothic" w:hAnsi="Century Gothic"/>
          <w:b/>
          <w:bCs/>
          <w:color w:val="44546A"/>
          <w:sz w:val="20"/>
          <w:szCs w:val="20"/>
        </w:rPr>
        <w:t xml:space="preserve"> speakers; </w:t>
      </w:r>
      <w:proofErr w:type="spellStart"/>
      <w:r>
        <w:rPr>
          <w:rFonts w:ascii="Century Gothic" w:hAnsi="Century Gothic"/>
          <w:b/>
          <w:bCs/>
          <w:color w:val="44546A"/>
          <w:sz w:val="20"/>
          <w:szCs w:val="20"/>
        </w:rPr>
        <w:t>Ngāi</w:t>
      </w:r>
      <w:proofErr w:type="spellEnd"/>
      <w:r w:rsidRPr="00DF212D">
        <w:rPr>
          <w:rFonts w:ascii="Century Gothic" w:hAnsi="Century Gothic"/>
          <w:b/>
          <w:bCs/>
          <w:color w:val="44546A"/>
          <w:sz w:val="20"/>
          <w:szCs w:val="20"/>
        </w:rPr>
        <w:t xml:space="preserve"> </w:t>
      </w:r>
      <w:proofErr w:type="spellStart"/>
      <w:r w:rsidRPr="00DF212D">
        <w:rPr>
          <w:rFonts w:ascii="Century Gothic" w:hAnsi="Century Gothic"/>
          <w:b/>
          <w:bCs/>
          <w:color w:val="44546A"/>
          <w:sz w:val="20"/>
          <w:szCs w:val="20"/>
        </w:rPr>
        <w:t>Tāmanuhiri</w:t>
      </w:r>
      <w:proofErr w:type="spellEnd"/>
      <w:r>
        <w:rPr>
          <w:rFonts w:ascii="Century Gothic" w:hAnsi="Century Gothic"/>
          <w:b/>
          <w:bCs/>
          <w:color w:val="44546A"/>
          <w:sz w:val="20"/>
          <w:szCs w:val="20"/>
        </w:rPr>
        <w:t xml:space="preserve"> iwi and the Māori descent population; </w:t>
      </w:r>
      <w:r w:rsidR="006335DA">
        <w:rPr>
          <w:rFonts w:ascii="Century Gothic" w:hAnsi="Century Gothic"/>
          <w:b/>
          <w:bCs/>
          <w:color w:val="44546A"/>
          <w:sz w:val="20"/>
          <w:szCs w:val="20"/>
        </w:rPr>
        <w:t xml:space="preserve">adults aged 15+ years; </w:t>
      </w:r>
      <w:r>
        <w:rPr>
          <w:rFonts w:ascii="Century Gothic" w:hAnsi="Century Gothic"/>
          <w:b/>
          <w:bCs/>
          <w:color w:val="44546A"/>
          <w:sz w:val="20"/>
          <w:szCs w:val="20"/>
        </w:rPr>
        <w:t>2013 Census</w:t>
      </w:r>
      <w:bookmarkEnd w:id="42"/>
    </w:p>
    <w:p w14:paraId="7A4FE6B9" w14:textId="692369D5" w:rsidR="00356CFA" w:rsidRDefault="00356CFA" w:rsidP="008E7DF6">
      <w:pPr>
        <w:spacing w:after="0" w:line="276" w:lineRule="auto"/>
        <w:rPr>
          <w:rFonts w:ascii="Century Gothic" w:hAnsi="Century Gothic"/>
          <w:b/>
          <w:bCs/>
          <w:color w:val="44546A"/>
          <w:sz w:val="20"/>
          <w:szCs w:val="20"/>
          <w:highlight w:val="yellow"/>
        </w:rPr>
      </w:pPr>
      <w:r>
        <w:rPr>
          <w:rFonts w:ascii="Century Gothic" w:hAnsi="Century Gothic"/>
          <w:b/>
          <w:bCs/>
          <w:noProof/>
          <w:color w:val="44546A"/>
          <w:sz w:val="20"/>
          <w:szCs w:val="20"/>
          <w:highlight w:val="yellow"/>
        </w:rPr>
        <w:drawing>
          <wp:anchor distT="0" distB="0" distL="114300" distR="114300" simplePos="0" relativeHeight="252375040" behindDoc="1" locked="0" layoutInCell="1" allowOverlap="1" wp14:anchorId="379C5E9C" wp14:editId="4D65D0EC">
            <wp:simplePos x="0" y="0"/>
            <wp:positionH relativeFrom="column">
              <wp:posOffset>3479</wp:posOffset>
            </wp:positionH>
            <wp:positionV relativeFrom="paragraph">
              <wp:posOffset>3147</wp:posOffset>
            </wp:positionV>
            <wp:extent cx="5335200" cy="2314800"/>
            <wp:effectExtent l="0" t="0" r="0" b="0"/>
            <wp:wrapTight wrapText="bothSides">
              <wp:wrapPolygon edited="0">
                <wp:start x="0" y="0"/>
                <wp:lineTo x="0" y="21333"/>
                <wp:lineTo x="21520" y="21333"/>
                <wp:lineTo x="21520" y="0"/>
                <wp:lineTo x="0" y="0"/>
              </wp:wrapPolygon>
            </wp:wrapTight>
            <wp:docPr id="24" name="Picture 24" descr="C:\Users\tahuk\Desktop\lf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huk\Desktop\lfs2.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35200" cy="231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F40CC" w14:textId="77777777" w:rsidR="008E7DF6" w:rsidRDefault="008E7DF6" w:rsidP="008E7DF6">
      <w:pPr>
        <w:spacing w:after="0" w:line="276" w:lineRule="auto"/>
        <w:rPr>
          <w:rFonts w:ascii="Century Gothic" w:hAnsi="Century Gothic"/>
          <w:b/>
          <w:bCs/>
          <w:color w:val="44546A"/>
          <w:sz w:val="20"/>
          <w:szCs w:val="20"/>
          <w:highlight w:val="yellow"/>
        </w:rPr>
      </w:pPr>
    </w:p>
    <w:p w14:paraId="560CDB5A" w14:textId="77777777" w:rsidR="0065189F" w:rsidRDefault="0065189F" w:rsidP="008E7DF6">
      <w:pPr>
        <w:spacing w:after="0" w:line="276" w:lineRule="auto"/>
        <w:rPr>
          <w:rFonts w:ascii="Century Gothic" w:hAnsi="Century Gothic"/>
          <w:b/>
          <w:bCs/>
          <w:color w:val="44546A"/>
          <w:sz w:val="20"/>
          <w:szCs w:val="20"/>
          <w:highlight w:val="yellow"/>
        </w:rPr>
      </w:pPr>
    </w:p>
    <w:p w14:paraId="4933AF00" w14:textId="77777777" w:rsidR="0065189F" w:rsidRDefault="0065189F" w:rsidP="008E7DF6">
      <w:pPr>
        <w:spacing w:after="0" w:line="276" w:lineRule="auto"/>
        <w:rPr>
          <w:rFonts w:ascii="Century Gothic" w:hAnsi="Century Gothic"/>
          <w:b/>
          <w:bCs/>
          <w:color w:val="44546A"/>
          <w:sz w:val="20"/>
          <w:szCs w:val="20"/>
          <w:highlight w:val="yellow"/>
        </w:rPr>
      </w:pPr>
    </w:p>
    <w:p w14:paraId="5ECD7C1F" w14:textId="77777777" w:rsidR="0065189F" w:rsidRDefault="0065189F" w:rsidP="008E7DF6">
      <w:pPr>
        <w:spacing w:after="0" w:line="276" w:lineRule="auto"/>
        <w:rPr>
          <w:rFonts w:ascii="Century Gothic" w:hAnsi="Century Gothic"/>
          <w:b/>
          <w:bCs/>
          <w:color w:val="44546A"/>
          <w:sz w:val="20"/>
          <w:szCs w:val="20"/>
          <w:highlight w:val="yellow"/>
        </w:rPr>
      </w:pPr>
    </w:p>
    <w:p w14:paraId="0C1FAB66" w14:textId="77777777" w:rsidR="0065189F" w:rsidRDefault="0065189F" w:rsidP="008E7DF6">
      <w:pPr>
        <w:spacing w:after="0" w:line="276" w:lineRule="auto"/>
        <w:rPr>
          <w:rFonts w:ascii="Century Gothic" w:hAnsi="Century Gothic"/>
          <w:b/>
          <w:bCs/>
          <w:color w:val="44546A"/>
          <w:sz w:val="20"/>
          <w:szCs w:val="20"/>
          <w:highlight w:val="yellow"/>
        </w:rPr>
      </w:pPr>
    </w:p>
    <w:p w14:paraId="35FF1E61" w14:textId="77777777" w:rsidR="0065189F" w:rsidRDefault="0065189F" w:rsidP="008E7DF6">
      <w:pPr>
        <w:spacing w:after="0" w:line="276" w:lineRule="auto"/>
        <w:rPr>
          <w:rFonts w:ascii="Century Gothic" w:hAnsi="Century Gothic"/>
          <w:b/>
          <w:bCs/>
          <w:color w:val="44546A"/>
          <w:sz w:val="20"/>
          <w:szCs w:val="20"/>
          <w:highlight w:val="yellow"/>
        </w:rPr>
      </w:pPr>
    </w:p>
    <w:p w14:paraId="173D3D2B" w14:textId="77777777" w:rsidR="0065189F" w:rsidRDefault="0065189F" w:rsidP="008E7DF6">
      <w:pPr>
        <w:spacing w:after="0" w:line="276" w:lineRule="auto"/>
        <w:rPr>
          <w:rFonts w:ascii="Century Gothic" w:hAnsi="Century Gothic"/>
          <w:b/>
          <w:bCs/>
          <w:color w:val="44546A"/>
          <w:sz w:val="20"/>
          <w:szCs w:val="20"/>
          <w:highlight w:val="yellow"/>
        </w:rPr>
      </w:pPr>
    </w:p>
    <w:p w14:paraId="23604A81" w14:textId="77777777" w:rsidR="0065189F" w:rsidRDefault="0065189F" w:rsidP="008E7DF6">
      <w:pPr>
        <w:spacing w:after="0" w:line="276" w:lineRule="auto"/>
        <w:rPr>
          <w:rFonts w:ascii="Century Gothic" w:hAnsi="Century Gothic"/>
          <w:b/>
          <w:bCs/>
          <w:color w:val="44546A"/>
          <w:sz w:val="20"/>
          <w:szCs w:val="20"/>
          <w:highlight w:val="yellow"/>
        </w:rPr>
      </w:pPr>
    </w:p>
    <w:p w14:paraId="4016ECF6" w14:textId="77777777" w:rsidR="0065189F" w:rsidRDefault="0065189F" w:rsidP="008E7DF6">
      <w:pPr>
        <w:spacing w:after="0" w:line="276" w:lineRule="auto"/>
        <w:rPr>
          <w:rFonts w:ascii="Century Gothic" w:hAnsi="Century Gothic"/>
          <w:b/>
          <w:bCs/>
          <w:color w:val="44546A"/>
          <w:sz w:val="20"/>
          <w:szCs w:val="20"/>
          <w:highlight w:val="yellow"/>
        </w:rPr>
      </w:pPr>
    </w:p>
    <w:p w14:paraId="4A8D78C0" w14:textId="77777777" w:rsidR="0065189F" w:rsidRDefault="0065189F" w:rsidP="008E7DF6">
      <w:pPr>
        <w:spacing w:after="0" w:line="276" w:lineRule="auto"/>
        <w:rPr>
          <w:rFonts w:ascii="Century Gothic" w:hAnsi="Century Gothic"/>
          <w:b/>
          <w:bCs/>
          <w:color w:val="44546A"/>
          <w:sz w:val="20"/>
          <w:szCs w:val="20"/>
          <w:highlight w:val="yellow"/>
        </w:rPr>
      </w:pPr>
    </w:p>
    <w:p w14:paraId="305E405B" w14:textId="77777777" w:rsidR="0065189F" w:rsidRDefault="0065189F" w:rsidP="008E7DF6">
      <w:pPr>
        <w:spacing w:after="0" w:line="276" w:lineRule="auto"/>
        <w:rPr>
          <w:rFonts w:ascii="Century Gothic" w:hAnsi="Century Gothic"/>
          <w:b/>
          <w:bCs/>
          <w:color w:val="44546A"/>
          <w:sz w:val="20"/>
          <w:szCs w:val="20"/>
          <w:highlight w:val="yellow"/>
        </w:rPr>
      </w:pPr>
    </w:p>
    <w:p w14:paraId="2AD7BE66" w14:textId="77777777" w:rsidR="0065189F" w:rsidRDefault="0065189F" w:rsidP="008E7DF6">
      <w:pPr>
        <w:spacing w:after="0" w:line="276" w:lineRule="auto"/>
        <w:rPr>
          <w:rFonts w:ascii="Century Gothic" w:hAnsi="Century Gothic"/>
          <w:b/>
          <w:bCs/>
          <w:color w:val="44546A"/>
          <w:sz w:val="20"/>
          <w:szCs w:val="20"/>
          <w:highlight w:val="yellow"/>
        </w:rPr>
      </w:pPr>
    </w:p>
    <w:p w14:paraId="07875836" w14:textId="77777777" w:rsidR="001B5D34" w:rsidRDefault="001B5D34" w:rsidP="00ED72AD">
      <w:pPr>
        <w:spacing w:after="0" w:line="360" w:lineRule="auto"/>
        <w:rPr>
          <w:rFonts w:ascii="Century Gothic" w:hAnsi="Century Gothic"/>
          <w:bCs/>
          <w:sz w:val="21"/>
          <w:szCs w:val="21"/>
        </w:rPr>
      </w:pPr>
    </w:p>
    <w:p w14:paraId="25BC20EF" w14:textId="2BE01CDC" w:rsidR="009A43DB" w:rsidRDefault="0064338F" w:rsidP="00ED72AD">
      <w:pPr>
        <w:spacing w:after="0" w:line="360" w:lineRule="auto"/>
        <w:rPr>
          <w:rFonts w:ascii="Century Gothic" w:hAnsi="Century Gothic"/>
          <w:bCs/>
          <w:sz w:val="21"/>
          <w:szCs w:val="21"/>
        </w:rPr>
      </w:pPr>
      <w:r>
        <w:rPr>
          <w:rFonts w:ascii="Century Gothic" w:hAnsi="Century Gothic"/>
          <w:bCs/>
          <w:sz w:val="21"/>
          <w:szCs w:val="21"/>
        </w:rPr>
        <w:t xml:space="preserve">The following figures show employment and unemployment rates. The rates are computed using different denominators and thus do not sum to 100 per cent. </w:t>
      </w:r>
      <w:r w:rsidR="009A43DB">
        <w:rPr>
          <w:rFonts w:ascii="Century Gothic" w:hAnsi="Century Gothic"/>
          <w:bCs/>
          <w:sz w:val="21"/>
          <w:szCs w:val="21"/>
        </w:rPr>
        <w:t>Both rates will be influenced by age and sex - it is well documented that young people aged under 25 years and women have lower rates of employment. However</w:t>
      </w:r>
      <w:r w:rsidR="00ED72AD">
        <w:rPr>
          <w:rFonts w:ascii="Century Gothic" w:hAnsi="Century Gothic"/>
          <w:bCs/>
          <w:sz w:val="21"/>
          <w:szCs w:val="21"/>
        </w:rPr>
        <w:t xml:space="preserve"> small numbers preclude us</w:t>
      </w:r>
      <w:r w:rsidR="009A43DB">
        <w:rPr>
          <w:rFonts w:ascii="Century Gothic" w:hAnsi="Century Gothic"/>
          <w:bCs/>
          <w:sz w:val="21"/>
          <w:szCs w:val="21"/>
        </w:rPr>
        <w:t xml:space="preserve"> from being able to disaggregate the data by age and sex. </w:t>
      </w:r>
    </w:p>
    <w:p w14:paraId="13E78CAC" w14:textId="77777777" w:rsidR="009A43DB" w:rsidRDefault="009A43DB" w:rsidP="009A43DB">
      <w:pPr>
        <w:spacing w:after="0" w:line="360" w:lineRule="auto"/>
        <w:rPr>
          <w:rFonts w:ascii="Century Gothic" w:hAnsi="Century Gothic"/>
          <w:bCs/>
          <w:sz w:val="21"/>
          <w:szCs w:val="21"/>
        </w:rPr>
      </w:pPr>
    </w:p>
    <w:p w14:paraId="19D62D2C" w14:textId="0A779C88" w:rsidR="008E7DF6" w:rsidRDefault="0064338F" w:rsidP="001B5D34">
      <w:pPr>
        <w:spacing w:after="0" w:line="360" w:lineRule="auto"/>
        <w:rPr>
          <w:rFonts w:ascii="Century Gothic" w:hAnsi="Century Gothic"/>
          <w:bCs/>
          <w:sz w:val="21"/>
          <w:szCs w:val="21"/>
        </w:rPr>
      </w:pPr>
      <w:r>
        <w:rPr>
          <w:rFonts w:ascii="Century Gothic" w:hAnsi="Century Gothic"/>
          <w:bCs/>
          <w:sz w:val="21"/>
          <w:szCs w:val="21"/>
        </w:rPr>
        <w:t>Figure</w:t>
      </w:r>
      <w:r w:rsidR="00695ADA">
        <w:rPr>
          <w:rFonts w:ascii="Century Gothic" w:hAnsi="Century Gothic"/>
          <w:bCs/>
          <w:sz w:val="21"/>
          <w:szCs w:val="21"/>
        </w:rPr>
        <w:t>s</w:t>
      </w:r>
      <w:r>
        <w:rPr>
          <w:rFonts w:ascii="Century Gothic" w:hAnsi="Century Gothic"/>
          <w:bCs/>
          <w:sz w:val="21"/>
          <w:szCs w:val="21"/>
        </w:rPr>
        <w:t xml:space="preserve"> 4.3 </w:t>
      </w:r>
      <w:r w:rsidR="00695ADA" w:rsidRPr="00695ADA">
        <w:rPr>
          <w:rFonts w:ascii="Century Gothic" w:hAnsi="Century Gothic"/>
          <w:bCs/>
          <w:sz w:val="21"/>
          <w:szCs w:val="21"/>
        </w:rPr>
        <w:t>and 4.4 show</w:t>
      </w:r>
      <w:r w:rsidRPr="00695ADA">
        <w:rPr>
          <w:rFonts w:ascii="Century Gothic" w:hAnsi="Century Gothic"/>
          <w:bCs/>
          <w:sz w:val="21"/>
          <w:szCs w:val="21"/>
        </w:rPr>
        <w:t xml:space="preserve"> that the </w:t>
      </w:r>
      <w:r w:rsidR="008E7DF6" w:rsidRPr="00695ADA">
        <w:rPr>
          <w:rFonts w:ascii="Century Gothic" w:hAnsi="Century Gothic"/>
          <w:bCs/>
          <w:sz w:val="21"/>
          <w:szCs w:val="21"/>
        </w:rPr>
        <w:t xml:space="preserve">employment rate for </w:t>
      </w:r>
      <w:proofErr w:type="spellStart"/>
      <w:r w:rsidR="008E7DF6" w:rsidRPr="00695ADA">
        <w:rPr>
          <w:rFonts w:ascii="Century Gothic" w:hAnsi="Century Gothic"/>
          <w:bCs/>
          <w:sz w:val="21"/>
          <w:szCs w:val="21"/>
        </w:rPr>
        <w:t>Ngāi</w:t>
      </w:r>
      <w:proofErr w:type="spellEnd"/>
      <w:r w:rsidR="008E7DF6" w:rsidRPr="00695ADA">
        <w:rPr>
          <w:rFonts w:ascii="Century Gothic" w:hAnsi="Century Gothic"/>
          <w:bCs/>
          <w:sz w:val="21"/>
          <w:szCs w:val="21"/>
        </w:rPr>
        <w:t xml:space="preserve"> </w:t>
      </w:r>
      <w:proofErr w:type="spellStart"/>
      <w:r w:rsidR="008E7DF6" w:rsidRPr="00695ADA">
        <w:rPr>
          <w:rFonts w:ascii="Century Gothic" w:hAnsi="Century Gothic"/>
          <w:bCs/>
          <w:sz w:val="21"/>
          <w:szCs w:val="21"/>
        </w:rPr>
        <w:t>Tām</w:t>
      </w:r>
      <w:r w:rsidR="00482514" w:rsidRPr="00695ADA">
        <w:rPr>
          <w:rFonts w:ascii="Century Gothic" w:hAnsi="Century Gothic"/>
          <w:bCs/>
          <w:sz w:val="21"/>
          <w:szCs w:val="21"/>
        </w:rPr>
        <w:t>anuhiri</w:t>
      </w:r>
      <w:proofErr w:type="spellEnd"/>
      <w:r w:rsidR="00482514" w:rsidRPr="00695ADA">
        <w:rPr>
          <w:rFonts w:ascii="Century Gothic" w:hAnsi="Century Gothic"/>
          <w:bCs/>
          <w:sz w:val="21"/>
          <w:szCs w:val="21"/>
        </w:rPr>
        <w:t xml:space="preserve"> </w:t>
      </w:r>
      <w:r w:rsidRPr="00695ADA">
        <w:rPr>
          <w:rFonts w:ascii="Century Gothic" w:hAnsi="Century Gothic"/>
          <w:bCs/>
          <w:sz w:val="21"/>
          <w:szCs w:val="21"/>
        </w:rPr>
        <w:t xml:space="preserve">was </w:t>
      </w:r>
      <w:r w:rsidR="00695ADA" w:rsidRPr="00695ADA">
        <w:rPr>
          <w:rFonts w:ascii="Century Gothic" w:hAnsi="Century Gothic"/>
          <w:bCs/>
          <w:sz w:val="21"/>
          <w:szCs w:val="21"/>
        </w:rPr>
        <w:t>67.6</w:t>
      </w:r>
      <w:r w:rsidR="00482514" w:rsidRPr="00695ADA">
        <w:rPr>
          <w:rFonts w:ascii="Century Gothic" w:hAnsi="Century Gothic"/>
          <w:bCs/>
          <w:sz w:val="21"/>
          <w:szCs w:val="21"/>
        </w:rPr>
        <w:t xml:space="preserve"> per cent</w:t>
      </w:r>
      <w:r w:rsidR="008E7DF6" w:rsidRPr="00695ADA">
        <w:rPr>
          <w:rFonts w:ascii="Century Gothic" w:hAnsi="Century Gothic"/>
          <w:bCs/>
          <w:sz w:val="21"/>
          <w:szCs w:val="21"/>
        </w:rPr>
        <w:t xml:space="preserve"> in 2006, </w:t>
      </w:r>
      <w:r w:rsidR="00695ADA" w:rsidRPr="00695ADA">
        <w:rPr>
          <w:rFonts w:ascii="Century Gothic" w:hAnsi="Century Gothic"/>
          <w:bCs/>
          <w:sz w:val="21"/>
          <w:szCs w:val="21"/>
        </w:rPr>
        <w:t xml:space="preserve">decreasing </w:t>
      </w:r>
      <w:r w:rsidR="008E7DF6" w:rsidRPr="00695ADA">
        <w:rPr>
          <w:rFonts w:ascii="Century Gothic" w:hAnsi="Century Gothic"/>
          <w:bCs/>
          <w:sz w:val="21"/>
          <w:szCs w:val="21"/>
        </w:rPr>
        <w:t xml:space="preserve">to </w:t>
      </w:r>
      <w:r w:rsidR="00695ADA" w:rsidRPr="00695ADA">
        <w:rPr>
          <w:rFonts w:ascii="Century Gothic" w:hAnsi="Century Gothic"/>
          <w:bCs/>
          <w:sz w:val="21"/>
          <w:szCs w:val="21"/>
        </w:rPr>
        <w:t xml:space="preserve">63.8 </w:t>
      </w:r>
      <w:r w:rsidR="008E7DF6" w:rsidRPr="00695ADA">
        <w:rPr>
          <w:rFonts w:ascii="Century Gothic" w:hAnsi="Century Gothic"/>
          <w:bCs/>
          <w:sz w:val="21"/>
          <w:szCs w:val="21"/>
        </w:rPr>
        <w:t>per cent in 2013. This was only slightly higher than the percentage of the Māori descent p</w:t>
      </w:r>
      <w:r w:rsidR="00482514" w:rsidRPr="00695ADA">
        <w:rPr>
          <w:rFonts w:ascii="Century Gothic" w:hAnsi="Century Gothic"/>
          <w:bCs/>
          <w:sz w:val="21"/>
          <w:szCs w:val="21"/>
        </w:rPr>
        <w:t xml:space="preserve">opulation that was employed </w:t>
      </w:r>
      <w:r w:rsidR="00695ADA" w:rsidRPr="00695ADA">
        <w:rPr>
          <w:rFonts w:ascii="Century Gothic" w:hAnsi="Century Gothic"/>
          <w:bCs/>
          <w:sz w:val="21"/>
          <w:szCs w:val="21"/>
        </w:rPr>
        <w:t xml:space="preserve">in 2013 </w:t>
      </w:r>
      <w:r w:rsidR="00482514" w:rsidRPr="00695ADA">
        <w:rPr>
          <w:rFonts w:ascii="Century Gothic" w:hAnsi="Century Gothic"/>
          <w:bCs/>
          <w:sz w:val="21"/>
          <w:szCs w:val="21"/>
        </w:rPr>
        <w:t>(</w:t>
      </w:r>
      <w:r w:rsidR="00695ADA" w:rsidRPr="00695ADA">
        <w:rPr>
          <w:rFonts w:ascii="Century Gothic" w:hAnsi="Century Gothic"/>
          <w:bCs/>
          <w:sz w:val="21"/>
          <w:szCs w:val="21"/>
        </w:rPr>
        <w:t>61.8</w:t>
      </w:r>
      <w:r w:rsidR="00482514" w:rsidRPr="00695ADA">
        <w:rPr>
          <w:rFonts w:ascii="Century Gothic" w:hAnsi="Century Gothic"/>
          <w:bCs/>
          <w:sz w:val="21"/>
          <w:szCs w:val="21"/>
        </w:rPr>
        <w:t xml:space="preserve"> </w:t>
      </w:r>
      <w:r w:rsidR="008E7DF6" w:rsidRPr="00695ADA">
        <w:rPr>
          <w:rFonts w:ascii="Century Gothic" w:hAnsi="Century Gothic"/>
          <w:bCs/>
          <w:sz w:val="21"/>
          <w:szCs w:val="21"/>
        </w:rPr>
        <w:t xml:space="preserve">per cent). </w:t>
      </w:r>
      <w:r w:rsidR="00DD2DD2">
        <w:rPr>
          <w:rFonts w:ascii="Century Gothic" w:hAnsi="Century Gothic"/>
          <w:bCs/>
          <w:sz w:val="21"/>
          <w:szCs w:val="21"/>
        </w:rPr>
        <w:t xml:space="preserve">Figure 4.3 </w:t>
      </w:r>
      <w:r w:rsidR="00DD2DD2" w:rsidRPr="00D7639F">
        <w:rPr>
          <w:rFonts w:ascii="Century Gothic" w:hAnsi="Century Gothic"/>
          <w:bCs/>
          <w:sz w:val="21"/>
          <w:szCs w:val="21"/>
        </w:rPr>
        <w:t xml:space="preserve">also shows that the </w:t>
      </w:r>
      <w:r w:rsidR="00DD2DD2" w:rsidRPr="00695ADA">
        <w:rPr>
          <w:rFonts w:ascii="Century Gothic" w:hAnsi="Century Gothic"/>
          <w:bCs/>
          <w:sz w:val="21"/>
          <w:szCs w:val="21"/>
        </w:rPr>
        <w:t xml:space="preserve">employment rate was lower for </w:t>
      </w:r>
      <w:proofErr w:type="spellStart"/>
      <w:r w:rsidR="00DD2DD2" w:rsidRPr="00695ADA">
        <w:rPr>
          <w:rFonts w:ascii="Century Gothic" w:hAnsi="Century Gothic"/>
          <w:bCs/>
          <w:sz w:val="21"/>
          <w:szCs w:val="21"/>
        </w:rPr>
        <w:t>Ngāi</w:t>
      </w:r>
      <w:proofErr w:type="spellEnd"/>
      <w:r w:rsidR="00DD2DD2" w:rsidRPr="00695ADA">
        <w:rPr>
          <w:rFonts w:ascii="Century Gothic" w:hAnsi="Century Gothic"/>
          <w:bCs/>
          <w:sz w:val="21"/>
          <w:szCs w:val="21"/>
        </w:rPr>
        <w:t xml:space="preserve"> </w:t>
      </w:r>
      <w:proofErr w:type="spellStart"/>
      <w:r w:rsidR="00DD2DD2" w:rsidRPr="00695ADA">
        <w:rPr>
          <w:rFonts w:ascii="Century Gothic" w:hAnsi="Century Gothic"/>
          <w:bCs/>
          <w:sz w:val="21"/>
          <w:szCs w:val="21"/>
        </w:rPr>
        <w:t>Tāmanuhiri</w:t>
      </w:r>
      <w:proofErr w:type="spellEnd"/>
      <w:r w:rsidR="00DD2DD2" w:rsidRPr="00695ADA">
        <w:rPr>
          <w:rFonts w:ascii="Century Gothic" w:hAnsi="Century Gothic"/>
          <w:bCs/>
          <w:sz w:val="21"/>
          <w:szCs w:val="21"/>
        </w:rPr>
        <w:t xml:space="preserve"> resident in </w:t>
      </w:r>
      <w:proofErr w:type="spellStart"/>
      <w:r w:rsidR="00DD2DD2" w:rsidRPr="00695ADA">
        <w:rPr>
          <w:rFonts w:ascii="Century Gothic" w:hAnsi="Century Gothic"/>
          <w:bCs/>
          <w:sz w:val="21"/>
          <w:szCs w:val="21"/>
        </w:rPr>
        <w:t>Gisborne</w:t>
      </w:r>
      <w:proofErr w:type="spellEnd"/>
      <w:r w:rsidR="00DD2DD2" w:rsidRPr="00695ADA">
        <w:rPr>
          <w:rFonts w:ascii="Century Gothic" w:hAnsi="Century Gothic"/>
          <w:bCs/>
          <w:sz w:val="21"/>
          <w:szCs w:val="21"/>
        </w:rPr>
        <w:t xml:space="preserve"> </w:t>
      </w:r>
      <w:r w:rsidR="00695ADA">
        <w:rPr>
          <w:rFonts w:ascii="Century Gothic" w:hAnsi="Century Gothic"/>
          <w:bCs/>
          <w:sz w:val="21"/>
          <w:szCs w:val="21"/>
        </w:rPr>
        <w:t>(</w:t>
      </w:r>
      <w:r w:rsidR="00695ADA" w:rsidRPr="00695ADA">
        <w:rPr>
          <w:rFonts w:ascii="Century Gothic" w:hAnsi="Century Gothic"/>
          <w:bCs/>
          <w:sz w:val="21"/>
          <w:szCs w:val="21"/>
        </w:rPr>
        <w:t>61.4</w:t>
      </w:r>
      <w:r w:rsidRPr="00695ADA">
        <w:rPr>
          <w:rFonts w:ascii="Century Gothic" w:hAnsi="Century Gothic"/>
          <w:bCs/>
          <w:sz w:val="21"/>
          <w:szCs w:val="21"/>
        </w:rPr>
        <w:t xml:space="preserve"> </w:t>
      </w:r>
      <w:r w:rsidR="00482514" w:rsidRPr="00695ADA">
        <w:rPr>
          <w:rFonts w:ascii="Century Gothic" w:hAnsi="Century Gothic"/>
          <w:bCs/>
          <w:sz w:val="21"/>
          <w:szCs w:val="21"/>
        </w:rPr>
        <w:t xml:space="preserve">per cent) </w:t>
      </w:r>
      <w:r w:rsidR="00695ADA" w:rsidRPr="00695ADA">
        <w:rPr>
          <w:rFonts w:ascii="Century Gothic" w:hAnsi="Century Gothic"/>
          <w:bCs/>
          <w:sz w:val="21"/>
          <w:szCs w:val="21"/>
        </w:rPr>
        <w:t>than</w:t>
      </w:r>
      <w:r w:rsidR="00DD2DD2" w:rsidRPr="00695ADA">
        <w:rPr>
          <w:rFonts w:ascii="Century Gothic" w:hAnsi="Century Gothic"/>
          <w:bCs/>
          <w:sz w:val="21"/>
          <w:szCs w:val="21"/>
        </w:rPr>
        <w:t xml:space="preserve"> for those living</w:t>
      </w:r>
      <w:r w:rsidR="00DD2DD2" w:rsidRPr="00D7639F">
        <w:rPr>
          <w:rFonts w:ascii="Century Gothic" w:hAnsi="Century Gothic"/>
          <w:bCs/>
          <w:sz w:val="21"/>
          <w:szCs w:val="21"/>
        </w:rPr>
        <w:t xml:space="preserve"> outside the region</w:t>
      </w:r>
      <w:r w:rsidR="00695ADA">
        <w:rPr>
          <w:rFonts w:ascii="Century Gothic" w:hAnsi="Century Gothic"/>
          <w:bCs/>
          <w:sz w:val="21"/>
          <w:szCs w:val="21"/>
        </w:rPr>
        <w:t xml:space="preserve">. </w:t>
      </w:r>
      <w:r w:rsidR="00432583">
        <w:rPr>
          <w:rFonts w:ascii="Century Gothic" w:hAnsi="Century Gothic"/>
          <w:bCs/>
          <w:sz w:val="21"/>
          <w:szCs w:val="21"/>
        </w:rPr>
        <w:t>This difference is strongly influenced by re</w:t>
      </w:r>
      <w:r w:rsidR="001B5D34">
        <w:rPr>
          <w:rFonts w:ascii="Century Gothic" w:hAnsi="Century Gothic"/>
          <w:bCs/>
          <w:sz w:val="21"/>
          <w:szCs w:val="21"/>
        </w:rPr>
        <w:t xml:space="preserve">gional labour market dynamics. </w:t>
      </w:r>
      <w:proofErr w:type="spellStart"/>
      <w:r w:rsidR="00432583">
        <w:rPr>
          <w:rFonts w:ascii="Century Gothic" w:hAnsi="Century Gothic"/>
          <w:bCs/>
          <w:sz w:val="21"/>
          <w:szCs w:val="21"/>
        </w:rPr>
        <w:t>Gisborne</w:t>
      </w:r>
      <w:proofErr w:type="spellEnd"/>
      <w:r w:rsidR="00432583">
        <w:rPr>
          <w:rFonts w:ascii="Century Gothic" w:hAnsi="Century Gothic"/>
          <w:bCs/>
          <w:sz w:val="21"/>
          <w:szCs w:val="21"/>
        </w:rPr>
        <w:t xml:space="preserve"> consistently has lower employment than the national average as well as most other regions.</w:t>
      </w:r>
      <w:r w:rsidR="00432583">
        <w:rPr>
          <w:rStyle w:val="FootnoteReference"/>
          <w:rFonts w:ascii="Century Gothic" w:hAnsi="Century Gothic"/>
          <w:bCs/>
          <w:sz w:val="21"/>
          <w:szCs w:val="21"/>
        </w:rPr>
        <w:footnoteReference w:id="12"/>
      </w:r>
      <w:r w:rsidR="00432583">
        <w:rPr>
          <w:rFonts w:ascii="Century Gothic" w:hAnsi="Century Gothic"/>
          <w:bCs/>
          <w:sz w:val="21"/>
          <w:szCs w:val="21"/>
        </w:rPr>
        <w:t xml:space="preserve"> In 2014, for example, the quarterly employment rate for </w:t>
      </w:r>
      <w:proofErr w:type="spellStart"/>
      <w:r w:rsidR="00432583">
        <w:rPr>
          <w:rFonts w:ascii="Century Gothic" w:hAnsi="Century Gothic"/>
          <w:bCs/>
          <w:sz w:val="21"/>
          <w:szCs w:val="21"/>
        </w:rPr>
        <w:t>Gisborne</w:t>
      </w:r>
      <w:proofErr w:type="spellEnd"/>
      <w:r w:rsidR="00432583">
        <w:rPr>
          <w:rFonts w:ascii="Century Gothic" w:hAnsi="Century Gothic"/>
          <w:bCs/>
          <w:sz w:val="21"/>
          <w:szCs w:val="21"/>
        </w:rPr>
        <w:t xml:space="preserve">/Hawke’s Bay (total population) ranged between 60 and 62 per cent, compared to the national average of 71 per cent. </w:t>
      </w:r>
      <w:r w:rsidR="00695ADA">
        <w:rPr>
          <w:rFonts w:ascii="Century Gothic" w:hAnsi="Century Gothic"/>
          <w:bCs/>
          <w:sz w:val="21"/>
          <w:szCs w:val="21"/>
        </w:rPr>
        <w:t xml:space="preserve">Finally, the employment rate of </w:t>
      </w:r>
      <w:proofErr w:type="spellStart"/>
      <w:r w:rsidR="00695ADA" w:rsidRPr="00695ADA">
        <w:rPr>
          <w:rFonts w:ascii="Century Gothic" w:hAnsi="Century Gothic"/>
          <w:bCs/>
          <w:sz w:val="21"/>
          <w:szCs w:val="21"/>
        </w:rPr>
        <w:t>Ngāi</w:t>
      </w:r>
      <w:proofErr w:type="spellEnd"/>
      <w:r w:rsidR="00695ADA" w:rsidRPr="00695ADA">
        <w:rPr>
          <w:rFonts w:ascii="Century Gothic" w:hAnsi="Century Gothic"/>
          <w:bCs/>
          <w:sz w:val="21"/>
          <w:szCs w:val="21"/>
        </w:rPr>
        <w:t xml:space="preserve"> </w:t>
      </w:r>
      <w:proofErr w:type="spellStart"/>
      <w:r w:rsidR="00695ADA" w:rsidRPr="00695ADA">
        <w:rPr>
          <w:rFonts w:ascii="Century Gothic" w:hAnsi="Century Gothic"/>
          <w:bCs/>
          <w:sz w:val="21"/>
          <w:szCs w:val="21"/>
        </w:rPr>
        <w:t>Tāmanuhiri</w:t>
      </w:r>
      <w:proofErr w:type="spellEnd"/>
      <w:r w:rsidR="00695ADA" w:rsidRPr="00695ADA">
        <w:rPr>
          <w:rFonts w:ascii="Century Gothic" w:hAnsi="Century Gothic"/>
          <w:bCs/>
          <w:sz w:val="21"/>
          <w:szCs w:val="21"/>
        </w:rPr>
        <w:t xml:space="preserve"> </w:t>
      </w:r>
      <w:proofErr w:type="spellStart"/>
      <w:proofErr w:type="gramStart"/>
      <w:r w:rsidR="00695ADA">
        <w:rPr>
          <w:rFonts w:ascii="Century Gothic" w:hAnsi="Century Gothic"/>
          <w:bCs/>
          <w:sz w:val="21"/>
          <w:szCs w:val="21"/>
        </w:rPr>
        <w:t>te</w:t>
      </w:r>
      <w:proofErr w:type="spellEnd"/>
      <w:proofErr w:type="gramEnd"/>
      <w:r w:rsidR="00695ADA">
        <w:rPr>
          <w:rFonts w:ascii="Century Gothic" w:hAnsi="Century Gothic"/>
          <w:bCs/>
          <w:sz w:val="21"/>
          <w:szCs w:val="21"/>
        </w:rPr>
        <w:t xml:space="preserve"> reo speakers in 2013 </w:t>
      </w:r>
      <w:r w:rsidR="00432583">
        <w:rPr>
          <w:rFonts w:ascii="Century Gothic" w:hAnsi="Century Gothic"/>
          <w:bCs/>
          <w:sz w:val="21"/>
          <w:szCs w:val="21"/>
        </w:rPr>
        <w:t xml:space="preserve">was slightly higher than for the iwi overall (64.7 per cent), and much higher than the employment rate for all </w:t>
      </w:r>
      <w:proofErr w:type="spellStart"/>
      <w:r w:rsidR="00432583">
        <w:rPr>
          <w:rFonts w:ascii="Century Gothic" w:hAnsi="Century Gothic"/>
          <w:bCs/>
          <w:sz w:val="21"/>
          <w:szCs w:val="21"/>
        </w:rPr>
        <w:t>te</w:t>
      </w:r>
      <w:proofErr w:type="spellEnd"/>
      <w:r w:rsidR="00432583">
        <w:rPr>
          <w:rFonts w:ascii="Century Gothic" w:hAnsi="Century Gothic"/>
          <w:bCs/>
          <w:sz w:val="21"/>
          <w:szCs w:val="21"/>
        </w:rPr>
        <w:t xml:space="preserve"> reo speakers of Māori descent (56.7 per cent). </w:t>
      </w:r>
    </w:p>
    <w:p w14:paraId="35165C0B" w14:textId="2962BB8E" w:rsidR="0064338F" w:rsidRDefault="0064338F" w:rsidP="0064338F">
      <w:pPr>
        <w:spacing w:after="0" w:line="360" w:lineRule="auto"/>
        <w:rPr>
          <w:rFonts w:ascii="Century Gothic" w:hAnsi="Century Gothic"/>
          <w:bCs/>
          <w:sz w:val="21"/>
          <w:szCs w:val="21"/>
        </w:rPr>
      </w:pPr>
    </w:p>
    <w:p w14:paraId="01E50641" w14:textId="29BCB1C0" w:rsidR="0064338F" w:rsidRDefault="0064338F" w:rsidP="00432583">
      <w:pPr>
        <w:spacing w:after="0" w:line="360" w:lineRule="auto"/>
        <w:rPr>
          <w:rFonts w:ascii="Century Gothic" w:hAnsi="Century Gothic"/>
          <w:bCs/>
          <w:sz w:val="21"/>
          <w:szCs w:val="21"/>
        </w:rPr>
      </w:pPr>
      <w:r>
        <w:rPr>
          <w:rFonts w:ascii="Century Gothic" w:hAnsi="Century Gothic"/>
          <w:bCs/>
          <w:sz w:val="21"/>
          <w:szCs w:val="21"/>
        </w:rPr>
        <w:t>Turning to</w:t>
      </w:r>
      <w:r w:rsidR="001B5D34">
        <w:rPr>
          <w:rFonts w:ascii="Century Gothic" w:hAnsi="Century Gothic"/>
          <w:bCs/>
          <w:sz w:val="21"/>
          <w:szCs w:val="21"/>
        </w:rPr>
        <w:t xml:space="preserve"> the</w:t>
      </w:r>
      <w:r>
        <w:rPr>
          <w:rFonts w:ascii="Century Gothic" w:hAnsi="Century Gothic"/>
          <w:bCs/>
          <w:sz w:val="21"/>
          <w:szCs w:val="21"/>
        </w:rPr>
        <w:t xml:space="preserve"> </w:t>
      </w:r>
      <w:r w:rsidR="00432583">
        <w:rPr>
          <w:rFonts w:ascii="Century Gothic" w:hAnsi="Century Gothic"/>
          <w:bCs/>
          <w:sz w:val="21"/>
          <w:szCs w:val="21"/>
        </w:rPr>
        <w:t xml:space="preserve">flip side of </w:t>
      </w:r>
      <w:r>
        <w:rPr>
          <w:rFonts w:ascii="Century Gothic" w:hAnsi="Century Gothic"/>
          <w:bCs/>
          <w:sz w:val="21"/>
          <w:szCs w:val="21"/>
        </w:rPr>
        <w:t xml:space="preserve">employment, the </w:t>
      </w:r>
      <w:r w:rsidR="00432583">
        <w:rPr>
          <w:rFonts w:ascii="Century Gothic" w:hAnsi="Century Gothic"/>
          <w:bCs/>
          <w:sz w:val="21"/>
          <w:szCs w:val="21"/>
        </w:rPr>
        <w:t xml:space="preserve">unemployment </w:t>
      </w:r>
      <w:r>
        <w:rPr>
          <w:rFonts w:ascii="Century Gothic" w:hAnsi="Century Gothic"/>
          <w:bCs/>
          <w:sz w:val="21"/>
          <w:szCs w:val="21"/>
        </w:rPr>
        <w:t xml:space="preserve">rate for </w:t>
      </w:r>
      <w:proofErr w:type="spellStart"/>
      <w:r>
        <w:rPr>
          <w:rFonts w:ascii="Century Gothic" w:hAnsi="Century Gothic"/>
          <w:bCs/>
          <w:sz w:val="21"/>
          <w:szCs w:val="21"/>
        </w:rPr>
        <w:t>Ngāi</w:t>
      </w:r>
      <w:proofErr w:type="spellEnd"/>
      <w:r>
        <w:rPr>
          <w:rFonts w:ascii="Century Gothic" w:hAnsi="Century Gothic"/>
          <w:bCs/>
          <w:sz w:val="21"/>
          <w:szCs w:val="21"/>
        </w:rPr>
        <w:t xml:space="preserve"> </w:t>
      </w:r>
      <w:proofErr w:type="spellStart"/>
      <w:r>
        <w:rPr>
          <w:rFonts w:ascii="Century Gothic" w:hAnsi="Century Gothic"/>
          <w:bCs/>
          <w:sz w:val="21"/>
          <w:szCs w:val="21"/>
        </w:rPr>
        <w:t>Tāmanuhiri</w:t>
      </w:r>
      <w:proofErr w:type="spellEnd"/>
      <w:r>
        <w:rPr>
          <w:rFonts w:ascii="Century Gothic" w:hAnsi="Century Gothic"/>
          <w:bCs/>
          <w:sz w:val="21"/>
          <w:szCs w:val="21"/>
        </w:rPr>
        <w:t xml:space="preserve"> was </w:t>
      </w:r>
      <w:r w:rsidR="00432583">
        <w:rPr>
          <w:rFonts w:ascii="Century Gothic" w:hAnsi="Century Gothic"/>
          <w:bCs/>
          <w:sz w:val="21"/>
          <w:szCs w:val="21"/>
        </w:rPr>
        <w:t xml:space="preserve">9.6 per cent, increasing to 12.7 per cent by 2013. </w:t>
      </w:r>
      <w:r w:rsidR="00695ADA" w:rsidRPr="00695ADA">
        <w:rPr>
          <w:rFonts w:ascii="Century Gothic" w:hAnsi="Century Gothic"/>
          <w:bCs/>
          <w:sz w:val="21"/>
          <w:szCs w:val="21"/>
        </w:rPr>
        <w:t xml:space="preserve">The </w:t>
      </w:r>
      <w:r w:rsidR="00695ADA">
        <w:rPr>
          <w:rFonts w:ascii="Century Gothic" w:hAnsi="Century Gothic"/>
          <w:bCs/>
          <w:sz w:val="21"/>
          <w:szCs w:val="21"/>
        </w:rPr>
        <w:t>increase in</w:t>
      </w:r>
      <w:r w:rsidR="00695ADA" w:rsidRPr="00695ADA">
        <w:rPr>
          <w:rFonts w:ascii="Century Gothic" w:hAnsi="Century Gothic"/>
          <w:bCs/>
          <w:sz w:val="21"/>
          <w:szCs w:val="21"/>
        </w:rPr>
        <w:t xml:space="preserve"> </w:t>
      </w:r>
      <w:r w:rsidR="00432583">
        <w:rPr>
          <w:rFonts w:ascii="Century Gothic" w:hAnsi="Century Gothic"/>
          <w:bCs/>
          <w:sz w:val="21"/>
          <w:szCs w:val="21"/>
        </w:rPr>
        <w:t>un</w:t>
      </w:r>
      <w:r w:rsidR="00695ADA" w:rsidRPr="00695ADA">
        <w:rPr>
          <w:rFonts w:ascii="Century Gothic" w:hAnsi="Century Gothic"/>
          <w:bCs/>
          <w:sz w:val="21"/>
          <w:szCs w:val="21"/>
        </w:rPr>
        <w:t xml:space="preserve">employment reflects the effects of the Global Financial Crisis which began in 2007 and saw the national unemployment rate in </w:t>
      </w:r>
      <w:proofErr w:type="spellStart"/>
      <w:r w:rsidR="00695ADA" w:rsidRPr="00695ADA">
        <w:rPr>
          <w:rFonts w:ascii="Century Gothic" w:hAnsi="Century Gothic"/>
          <w:bCs/>
          <w:sz w:val="21"/>
          <w:szCs w:val="21"/>
        </w:rPr>
        <w:lastRenderedPageBreak/>
        <w:t>Aotearoa</w:t>
      </w:r>
      <w:proofErr w:type="spellEnd"/>
      <w:r w:rsidR="00695ADA" w:rsidRPr="00695ADA">
        <w:rPr>
          <w:rFonts w:ascii="Century Gothic" w:hAnsi="Century Gothic"/>
          <w:bCs/>
          <w:sz w:val="21"/>
          <w:szCs w:val="21"/>
        </w:rPr>
        <w:t xml:space="preserve"> peak</w:t>
      </w:r>
      <w:r w:rsidR="00695ADA">
        <w:rPr>
          <w:rFonts w:ascii="Century Gothic" w:hAnsi="Century Gothic"/>
          <w:bCs/>
          <w:sz w:val="21"/>
          <w:szCs w:val="21"/>
        </w:rPr>
        <w:t xml:space="preserve"> in 2012 at 6.9 per cent</w:t>
      </w:r>
      <w:r w:rsidR="00432583">
        <w:rPr>
          <w:rFonts w:ascii="Century Gothic" w:hAnsi="Century Gothic"/>
          <w:bCs/>
          <w:sz w:val="21"/>
          <w:szCs w:val="21"/>
        </w:rPr>
        <w:t xml:space="preserve">, which was still half the rate for </w:t>
      </w:r>
      <w:proofErr w:type="spellStart"/>
      <w:r w:rsidR="00432583">
        <w:rPr>
          <w:rFonts w:ascii="Century Gothic" w:hAnsi="Century Gothic"/>
          <w:bCs/>
          <w:sz w:val="21"/>
          <w:szCs w:val="21"/>
        </w:rPr>
        <w:t>Ngāi</w:t>
      </w:r>
      <w:proofErr w:type="spellEnd"/>
      <w:r w:rsidR="00432583">
        <w:rPr>
          <w:rFonts w:ascii="Century Gothic" w:hAnsi="Century Gothic"/>
          <w:bCs/>
          <w:sz w:val="21"/>
          <w:szCs w:val="21"/>
        </w:rPr>
        <w:t xml:space="preserve"> </w:t>
      </w:r>
      <w:proofErr w:type="spellStart"/>
      <w:r w:rsidR="00432583">
        <w:rPr>
          <w:rFonts w:ascii="Century Gothic" w:hAnsi="Century Gothic"/>
          <w:bCs/>
          <w:sz w:val="21"/>
          <w:szCs w:val="21"/>
        </w:rPr>
        <w:t>Tāmanuhiri</w:t>
      </w:r>
      <w:proofErr w:type="spellEnd"/>
      <w:r w:rsidR="00695ADA">
        <w:rPr>
          <w:rFonts w:ascii="Century Gothic" w:hAnsi="Century Gothic"/>
          <w:bCs/>
          <w:sz w:val="21"/>
          <w:szCs w:val="21"/>
        </w:rPr>
        <w:t>.</w:t>
      </w:r>
      <w:r w:rsidR="00695ADA">
        <w:rPr>
          <w:rStyle w:val="FootnoteReference"/>
          <w:rFonts w:ascii="Century Gothic" w:hAnsi="Century Gothic"/>
          <w:bCs/>
          <w:sz w:val="21"/>
          <w:szCs w:val="21"/>
        </w:rPr>
        <w:footnoteReference w:id="13"/>
      </w:r>
      <w:r w:rsidR="00432583">
        <w:rPr>
          <w:rFonts w:ascii="Century Gothic" w:hAnsi="Century Gothic"/>
          <w:bCs/>
          <w:sz w:val="21"/>
          <w:szCs w:val="21"/>
        </w:rPr>
        <w:t xml:space="preserve"> The impact appeared to </w:t>
      </w:r>
      <w:r w:rsidR="00BA1EC0">
        <w:rPr>
          <w:rFonts w:ascii="Century Gothic" w:hAnsi="Century Gothic"/>
          <w:bCs/>
          <w:sz w:val="21"/>
          <w:szCs w:val="21"/>
        </w:rPr>
        <w:t>be much greater for those resident</w:t>
      </w:r>
      <w:r w:rsidR="00432583">
        <w:rPr>
          <w:rFonts w:ascii="Century Gothic" w:hAnsi="Century Gothic"/>
          <w:bCs/>
          <w:sz w:val="21"/>
          <w:szCs w:val="21"/>
        </w:rPr>
        <w:t xml:space="preserve"> in </w:t>
      </w:r>
      <w:proofErr w:type="spellStart"/>
      <w:r w:rsidR="00432583">
        <w:rPr>
          <w:rFonts w:ascii="Century Gothic" w:hAnsi="Century Gothic"/>
          <w:bCs/>
          <w:sz w:val="21"/>
          <w:szCs w:val="21"/>
        </w:rPr>
        <w:t>Gisborne</w:t>
      </w:r>
      <w:proofErr w:type="spellEnd"/>
      <w:r w:rsidR="00432583">
        <w:rPr>
          <w:rFonts w:ascii="Century Gothic" w:hAnsi="Century Gothic"/>
          <w:bCs/>
          <w:sz w:val="21"/>
          <w:szCs w:val="21"/>
        </w:rPr>
        <w:t>. Whereas there was little difference in unemployment between</w:t>
      </w:r>
      <w:r w:rsidR="00BA1EC0" w:rsidRPr="00BA1EC0">
        <w:rPr>
          <w:rFonts w:ascii="Century Gothic" w:hAnsi="Century Gothic"/>
          <w:bCs/>
          <w:sz w:val="21"/>
          <w:szCs w:val="21"/>
        </w:rPr>
        <w:t xml:space="preserve"> </w:t>
      </w:r>
      <w:proofErr w:type="spellStart"/>
      <w:r w:rsidR="00BA1EC0">
        <w:rPr>
          <w:rFonts w:ascii="Century Gothic" w:hAnsi="Century Gothic"/>
          <w:bCs/>
          <w:sz w:val="21"/>
          <w:szCs w:val="21"/>
        </w:rPr>
        <w:t>Ngāi</w:t>
      </w:r>
      <w:proofErr w:type="spellEnd"/>
      <w:r w:rsidR="00BA1EC0">
        <w:rPr>
          <w:rFonts w:ascii="Century Gothic" w:hAnsi="Century Gothic"/>
          <w:bCs/>
          <w:sz w:val="21"/>
          <w:szCs w:val="21"/>
        </w:rPr>
        <w:t xml:space="preserve"> </w:t>
      </w:r>
      <w:proofErr w:type="spellStart"/>
      <w:r w:rsidR="00BA1EC0">
        <w:rPr>
          <w:rFonts w:ascii="Century Gothic" w:hAnsi="Century Gothic"/>
          <w:bCs/>
          <w:sz w:val="21"/>
          <w:szCs w:val="21"/>
        </w:rPr>
        <w:t>Tāmanuhiri</w:t>
      </w:r>
      <w:proofErr w:type="spellEnd"/>
      <w:r w:rsidR="00432583">
        <w:rPr>
          <w:rFonts w:ascii="Century Gothic" w:hAnsi="Century Gothic"/>
          <w:bCs/>
          <w:sz w:val="21"/>
          <w:szCs w:val="21"/>
        </w:rPr>
        <w:t xml:space="preserve"> </w:t>
      </w:r>
      <w:r w:rsidR="00BA1EC0">
        <w:rPr>
          <w:rFonts w:ascii="Century Gothic" w:hAnsi="Century Gothic"/>
          <w:bCs/>
          <w:sz w:val="21"/>
          <w:szCs w:val="21"/>
        </w:rPr>
        <w:t xml:space="preserve">living in </w:t>
      </w:r>
      <w:proofErr w:type="spellStart"/>
      <w:r w:rsidR="00BA1EC0">
        <w:rPr>
          <w:rFonts w:ascii="Century Gothic" w:hAnsi="Century Gothic"/>
          <w:bCs/>
          <w:sz w:val="21"/>
          <w:szCs w:val="21"/>
        </w:rPr>
        <w:t>Gisborne</w:t>
      </w:r>
      <w:proofErr w:type="spellEnd"/>
      <w:r w:rsidR="00BA1EC0">
        <w:rPr>
          <w:rFonts w:ascii="Century Gothic" w:hAnsi="Century Gothic"/>
          <w:bCs/>
          <w:sz w:val="21"/>
          <w:szCs w:val="21"/>
        </w:rPr>
        <w:t xml:space="preserve"> in 2006 and the iwi generally, the rate was much higher in 2013 at 17.8 per cent.</w:t>
      </w:r>
    </w:p>
    <w:p w14:paraId="07A1A2CE" w14:textId="77777777" w:rsidR="00BA1EC0" w:rsidRDefault="00BA1EC0" w:rsidP="00695ADA">
      <w:pPr>
        <w:spacing w:after="0" w:line="360" w:lineRule="auto"/>
        <w:rPr>
          <w:rFonts w:ascii="Century Gothic" w:hAnsi="Century Gothic"/>
          <w:bCs/>
          <w:sz w:val="21"/>
          <w:szCs w:val="21"/>
        </w:rPr>
      </w:pPr>
    </w:p>
    <w:p w14:paraId="69C58781" w14:textId="354B01B0" w:rsidR="009A43DB" w:rsidRPr="00D7639F" w:rsidRDefault="009A43DB" w:rsidP="00695ADA">
      <w:pPr>
        <w:spacing w:after="0" w:line="360" w:lineRule="auto"/>
        <w:rPr>
          <w:rFonts w:ascii="Century Gothic" w:hAnsi="Century Gothic"/>
          <w:bCs/>
          <w:sz w:val="21"/>
          <w:szCs w:val="21"/>
        </w:rPr>
      </w:pPr>
      <w:r>
        <w:rPr>
          <w:rFonts w:ascii="Century Gothic" w:hAnsi="Century Gothic"/>
          <w:bCs/>
          <w:sz w:val="21"/>
          <w:szCs w:val="21"/>
        </w:rPr>
        <w:t xml:space="preserve">Figure 4.4 shows that the unemployment rate of </w:t>
      </w:r>
      <w:proofErr w:type="spellStart"/>
      <w:r>
        <w:rPr>
          <w:rFonts w:ascii="Century Gothic" w:hAnsi="Century Gothic"/>
          <w:bCs/>
          <w:sz w:val="21"/>
          <w:szCs w:val="21"/>
        </w:rPr>
        <w:t>Ngāi</w:t>
      </w:r>
      <w:proofErr w:type="spellEnd"/>
      <w:r>
        <w:rPr>
          <w:rFonts w:ascii="Century Gothic" w:hAnsi="Century Gothic"/>
          <w:bCs/>
          <w:sz w:val="21"/>
          <w:szCs w:val="21"/>
        </w:rPr>
        <w:t xml:space="preserve"> </w:t>
      </w:r>
      <w:proofErr w:type="spellStart"/>
      <w:r>
        <w:rPr>
          <w:rFonts w:ascii="Century Gothic" w:hAnsi="Century Gothic"/>
          <w:bCs/>
          <w:sz w:val="21"/>
          <w:szCs w:val="21"/>
        </w:rPr>
        <w:t>Tāmanuhiri</w:t>
      </w:r>
      <w:proofErr w:type="spellEnd"/>
      <w:r>
        <w:rPr>
          <w:rFonts w:ascii="Century Gothic" w:hAnsi="Century Gothic"/>
          <w:bCs/>
          <w:sz w:val="21"/>
          <w:szCs w:val="21"/>
        </w:rPr>
        <w:t xml:space="preserve"> </w:t>
      </w:r>
      <w:proofErr w:type="spellStart"/>
      <w:r>
        <w:rPr>
          <w:rFonts w:ascii="Century Gothic" w:hAnsi="Century Gothic"/>
          <w:bCs/>
          <w:sz w:val="21"/>
          <w:szCs w:val="21"/>
        </w:rPr>
        <w:t>te</w:t>
      </w:r>
      <w:proofErr w:type="spellEnd"/>
      <w:r>
        <w:rPr>
          <w:rFonts w:ascii="Century Gothic" w:hAnsi="Century Gothic"/>
          <w:bCs/>
          <w:sz w:val="21"/>
          <w:szCs w:val="21"/>
        </w:rPr>
        <w:t xml:space="preserve"> reo speakers was slightly higher than the iwi average (14.2 versus 12.7 per cent), but was substantially lower than the unemployment rate of </w:t>
      </w:r>
      <w:proofErr w:type="spellStart"/>
      <w:r>
        <w:rPr>
          <w:rFonts w:ascii="Century Gothic" w:hAnsi="Century Gothic"/>
          <w:bCs/>
          <w:sz w:val="21"/>
          <w:szCs w:val="21"/>
        </w:rPr>
        <w:t>te</w:t>
      </w:r>
      <w:proofErr w:type="spellEnd"/>
      <w:r>
        <w:rPr>
          <w:rFonts w:ascii="Century Gothic" w:hAnsi="Century Gothic"/>
          <w:bCs/>
          <w:sz w:val="21"/>
          <w:szCs w:val="21"/>
        </w:rPr>
        <w:t xml:space="preserve"> reo speakers generally (19.4 per cent). </w:t>
      </w:r>
    </w:p>
    <w:p w14:paraId="2B35C67A" w14:textId="77777777" w:rsidR="008E7DF6" w:rsidRPr="001B5D34" w:rsidRDefault="008E7DF6" w:rsidP="001B5D34">
      <w:pPr>
        <w:spacing w:after="0" w:line="360" w:lineRule="auto"/>
        <w:rPr>
          <w:rFonts w:ascii="Century Gothic" w:hAnsi="Century Gothic"/>
          <w:bCs/>
          <w:sz w:val="21"/>
          <w:szCs w:val="21"/>
        </w:rPr>
      </w:pPr>
    </w:p>
    <w:p w14:paraId="523CE836" w14:textId="7AFDF2DE" w:rsidR="00797132" w:rsidRPr="001B5D34" w:rsidRDefault="00D144BC" w:rsidP="001B5D34">
      <w:pPr>
        <w:spacing w:after="0" w:line="276" w:lineRule="auto"/>
        <w:rPr>
          <w:rFonts w:ascii="Century Gothic" w:eastAsiaTheme="majorEastAsia" w:hAnsi="Century Gothic" w:cstheme="majorBidi"/>
          <w:b/>
          <w:bCs/>
          <w:color w:val="4EAFC6"/>
          <w:sz w:val="21"/>
          <w:szCs w:val="21"/>
          <w:lang w:eastAsia="en-US"/>
        </w:rPr>
      </w:pPr>
      <w:bookmarkStart w:id="43" w:name="_Toc491783080"/>
      <w:r w:rsidRPr="000F2512">
        <w:rPr>
          <w:rFonts w:ascii="Century Gothic" w:hAnsi="Century Gothic"/>
          <w:b/>
          <w:bCs/>
          <w:color w:val="44546A"/>
          <w:sz w:val="20"/>
          <w:szCs w:val="20"/>
        </w:rPr>
        <w:t xml:space="preserve">Figure </w:t>
      </w:r>
      <w:r w:rsidRPr="000F2512">
        <w:rPr>
          <w:rFonts w:ascii="Century Gothic" w:hAnsi="Century Gothic"/>
          <w:b/>
          <w:bCs/>
          <w:color w:val="44546A"/>
          <w:sz w:val="20"/>
          <w:szCs w:val="20"/>
        </w:rPr>
        <w:fldChar w:fldCharType="begin"/>
      </w:r>
      <w:r w:rsidRPr="000F2512">
        <w:rPr>
          <w:rFonts w:ascii="Century Gothic" w:hAnsi="Century Gothic"/>
          <w:b/>
          <w:bCs/>
          <w:color w:val="44546A"/>
          <w:sz w:val="20"/>
          <w:szCs w:val="20"/>
        </w:rPr>
        <w:instrText xml:space="preserve"> STYLEREF 1 \s </w:instrText>
      </w:r>
      <w:r w:rsidRPr="000F2512">
        <w:rPr>
          <w:rFonts w:ascii="Century Gothic" w:hAnsi="Century Gothic"/>
          <w:b/>
          <w:bCs/>
          <w:color w:val="44546A"/>
          <w:sz w:val="20"/>
          <w:szCs w:val="20"/>
        </w:rPr>
        <w:fldChar w:fldCharType="separate"/>
      </w:r>
      <w:r w:rsidR="001470A9">
        <w:rPr>
          <w:rFonts w:ascii="Century Gothic" w:hAnsi="Century Gothic" w:hint="cs"/>
          <w:b/>
          <w:bCs/>
          <w:noProof/>
          <w:color w:val="44546A"/>
          <w:sz w:val="20"/>
          <w:szCs w:val="20"/>
          <w:cs/>
        </w:rPr>
        <w:t>‎</w:t>
      </w:r>
      <w:r w:rsidR="001470A9">
        <w:rPr>
          <w:rFonts w:ascii="Century Gothic" w:hAnsi="Century Gothic"/>
          <w:b/>
          <w:bCs/>
          <w:noProof/>
          <w:color w:val="44546A"/>
          <w:sz w:val="20"/>
          <w:szCs w:val="20"/>
        </w:rPr>
        <w:t>4</w:t>
      </w:r>
      <w:r w:rsidRPr="000F2512">
        <w:rPr>
          <w:rFonts w:ascii="Century Gothic" w:hAnsi="Century Gothic"/>
          <w:b/>
          <w:bCs/>
          <w:color w:val="44546A"/>
          <w:sz w:val="20"/>
          <w:szCs w:val="20"/>
        </w:rPr>
        <w:fldChar w:fldCharType="end"/>
      </w:r>
      <w:r w:rsidRPr="000F2512">
        <w:rPr>
          <w:rFonts w:ascii="Century Gothic" w:hAnsi="Century Gothic"/>
          <w:b/>
          <w:bCs/>
          <w:color w:val="44546A"/>
          <w:sz w:val="20"/>
          <w:szCs w:val="20"/>
        </w:rPr>
        <w:t>.</w:t>
      </w:r>
      <w:r w:rsidRPr="000F2512">
        <w:rPr>
          <w:rFonts w:ascii="Century Gothic" w:hAnsi="Century Gothic"/>
          <w:b/>
          <w:bCs/>
          <w:color w:val="44546A"/>
          <w:sz w:val="20"/>
          <w:szCs w:val="20"/>
        </w:rPr>
        <w:fldChar w:fldCharType="begin"/>
      </w:r>
      <w:r w:rsidRPr="000F2512">
        <w:rPr>
          <w:rFonts w:ascii="Century Gothic" w:hAnsi="Century Gothic"/>
          <w:b/>
          <w:bCs/>
          <w:color w:val="44546A"/>
          <w:sz w:val="20"/>
          <w:szCs w:val="20"/>
        </w:rPr>
        <w:instrText xml:space="preserve"> SEQ Figure \* ARABIC \s 1 </w:instrText>
      </w:r>
      <w:r w:rsidRPr="000F2512">
        <w:rPr>
          <w:rFonts w:ascii="Century Gothic" w:hAnsi="Century Gothic"/>
          <w:b/>
          <w:bCs/>
          <w:color w:val="44546A"/>
          <w:sz w:val="20"/>
          <w:szCs w:val="20"/>
        </w:rPr>
        <w:fldChar w:fldCharType="separate"/>
      </w:r>
      <w:r w:rsidR="001470A9">
        <w:rPr>
          <w:rFonts w:ascii="Century Gothic" w:hAnsi="Century Gothic"/>
          <w:b/>
          <w:bCs/>
          <w:noProof/>
          <w:color w:val="44546A"/>
          <w:sz w:val="20"/>
          <w:szCs w:val="20"/>
        </w:rPr>
        <w:t>3</w:t>
      </w:r>
      <w:r w:rsidRPr="000F2512">
        <w:rPr>
          <w:rFonts w:ascii="Century Gothic" w:hAnsi="Century Gothic"/>
          <w:b/>
          <w:bCs/>
          <w:color w:val="44546A"/>
          <w:sz w:val="20"/>
          <w:szCs w:val="20"/>
        </w:rPr>
        <w:fldChar w:fldCharType="end"/>
      </w:r>
      <w:r w:rsidRPr="000F2512">
        <w:rPr>
          <w:rFonts w:ascii="Century Gothic" w:hAnsi="Century Gothic"/>
          <w:b/>
          <w:bCs/>
          <w:color w:val="44546A"/>
          <w:sz w:val="20"/>
          <w:szCs w:val="20"/>
        </w:rPr>
        <w:t xml:space="preserve"> </w:t>
      </w:r>
      <w:r w:rsidR="008E7DF6" w:rsidRPr="000F2512">
        <w:rPr>
          <w:rFonts w:ascii="Century Gothic" w:hAnsi="Century Gothic"/>
          <w:b/>
          <w:bCs/>
          <w:color w:val="44546A"/>
          <w:sz w:val="20"/>
          <w:szCs w:val="20"/>
        </w:rPr>
        <w:t xml:space="preserve">Employment rate of </w:t>
      </w:r>
      <w:proofErr w:type="spellStart"/>
      <w:r w:rsidR="008E7DF6" w:rsidRPr="000F2512">
        <w:rPr>
          <w:rFonts w:ascii="Century Gothic" w:hAnsi="Century Gothic"/>
          <w:b/>
          <w:bCs/>
          <w:color w:val="44546A"/>
          <w:sz w:val="20"/>
          <w:szCs w:val="20"/>
        </w:rPr>
        <w:t>Ngāi</w:t>
      </w:r>
      <w:proofErr w:type="spellEnd"/>
      <w:r w:rsidR="008E7DF6" w:rsidRPr="000F2512">
        <w:rPr>
          <w:rFonts w:ascii="Century Gothic" w:hAnsi="Century Gothic"/>
          <w:b/>
          <w:bCs/>
          <w:color w:val="44546A"/>
          <w:sz w:val="20"/>
          <w:szCs w:val="20"/>
        </w:rPr>
        <w:t xml:space="preserve"> </w:t>
      </w:r>
      <w:proofErr w:type="spellStart"/>
      <w:r w:rsidR="008E7DF6" w:rsidRPr="000F2512">
        <w:rPr>
          <w:rFonts w:ascii="Century Gothic" w:hAnsi="Century Gothic"/>
          <w:b/>
          <w:bCs/>
          <w:color w:val="44546A"/>
          <w:sz w:val="20"/>
          <w:szCs w:val="20"/>
        </w:rPr>
        <w:t>Tāmanuhiri</w:t>
      </w:r>
      <w:proofErr w:type="spellEnd"/>
      <w:r w:rsidR="008E7DF6" w:rsidRPr="000F2512">
        <w:rPr>
          <w:rFonts w:ascii="Century Gothic" w:hAnsi="Century Gothic"/>
          <w:b/>
          <w:bCs/>
          <w:color w:val="44546A"/>
          <w:sz w:val="20"/>
          <w:szCs w:val="20"/>
        </w:rPr>
        <w:t xml:space="preserve">, </w:t>
      </w:r>
      <w:proofErr w:type="spellStart"/>
      <w:r w:rsidR="008E7DF6" w:rsidRPr="000F2512">
        <w:rPr>
          <w:rFonts w:ascii="Century Gothic" w:hAnsi="Century Gothic"/>
          <w:b/>
          <w:bCs/>
          <w:color w:val="44546A"/>
          <w:sz w:val="20"/>
          <w:szCs w:val="20"/>
        </w:rPr>
        <w:t>Ngāi</w:t>
      </w:r>
      <w:proofErr w:type="spellEnd"/>
      <w:r w:rsidR="008E7DF6" w:rsidRPr="000F2512">
        <w:rPr>
          <w:rFonts w:ascii="Century Gothic" w:hAnsi="Century Gothic"/>
          <w:b/>
          <w:bCs/>
          <w:color w:val="44546A"/>
          <w:sz w:val="20"/>
          <w:szCs w:val="20"/>
        </w:rPr>
        <w:t xml:space="preserve"> </w:t>
      </w:r>
      <w:proofErr w:type="spellStart"/>
      <w:r w:rsidR="008E7DF6" w:rsidRPr="000F2512">
        <w:rPr>
          <w:rFonts w:ascii="Century Gothic" w:hAnsi="Century Gothic"/>
          <w:b/>
          <w:bCs/>
          <w:color w:val="44546A"/>
          <w:sz w:val="20"/>
          <w:szCs w:val="20"/>
        </w:rPr>
        <w:t>Tāmanuhiri</w:t>
      </w:r>
      <w:proofErr w:type="spellEnd"/>
      <w:r w:rsidR="008E7DF6" w:rsidRPr="000F2512">
        <w:rPr>
          <w:rFonts w:ascii="Century Gothic" w:hAnsi="Century Gothic"/>
          <w:b/>
          <w:bCs/>
          <w:color w:val="44546A"/>
          <w:sz w:val="20"/>
          <w:szCs w:val="20"/>
        </w:rPr>
        <w:t xml:space="preserve"> resident in </w:t>
      </w:r>
      <w:proofErr w:type="spellStart"/>
      <w:r w:rsidR="008E7DF6" w:rsidRPr="000F2512">
        <w:rPr>
          <w:rFonts w:ascii="Century Gothic" w:hAnsi="Century Gothic"/>
          <w:b/>
          <w:bCs/>
          <w:color w:val="44546A"/>
          <w:sz w:val="20"/>
          <w:szCs w:val="20"/>
        </w:rPr>
        <w:t>Gisborne</w:t>
      </w:r>
      <w:proofErr w:type="spellEnd"/>
      <w:r w:rsidR="008E7DF6" w:rsidRPr="000F2512">
        <w:rPr>
          <w:rFonts w:ascii="Century Gothic" w:hAnsi="Century Gothic"/>
          <w:b/>
          <w:bCs/>
          <w:color w:val="44546A"/>
          <w:sz w:val="20"/>
          <w:szCs w:val="20"/>
        </w:rPr>
        <w:t>, and the total M</w:t>
      </w:r>
      <w:r w:rsidR="001B5D34">
        <w:rPr>
          <w:rFonts w:ascii="Century Gothic" w:hAnsi="Century Gothic"/>
          <w:b/>
          <w:bCs/>
          <w:color w:val="44546A"/>
          <w:sz w:val="20"/>
          <w:szCs w:val="20"/>
        </w:rPr>
        <w:t>ā</w:t>
      </w:r>
      <w:r w:rsidR="008E7DF6" w:rsidRPr="000F2512">
        <w:rPr>
          <w:rFonts w:ascii="Century Gothic" w:hAnsi="Century Gothic"/>
          <w:b/>
          <w:bCs/>
          <w:color w:val="44546A"/>
          <w:sz w:val="20"/>
          <w:szCs w:val="20"/>
        </w:rPr>
        <w:t xml:space="preserve">ori descent population; adults aged 15+ years; 2006 </w:t>
      </w:r>
      <w:r w:rsidR="000F2512" w:rsidRPr="000F2512">
        <w:rPr>
          <w:rFonts w:ascii="Century Gothic" w:hAnsi="Century Gothic"/>
          <w:b/>
          <w:bCs/>
          <w:color w:val="44546A"/>
          <w:sz w:val="20"/>
          <w:szCs w:val="20"/>
        </w:rPr>
        <w:t>census</w:t>
      </w:r>
      <w:bookmarkEnd w:id="43"/>
    </w:p>
    <w:p w14:paraId="093D5CF7" w14:textId="3ACA05C7" w:rsidR="00356CFA" w:rsidRDefault="000F2512" w:rsidP="006001B0">
      <w:pPr>
        <w:spacing w:after="0" w:line="276" w:lineRule="auto"/>
        <w:rPr>
          <w:rFonts w:ascii="Century Gothic" w:hAnsi="Century Gothic"/>
          <w:b/>
          <w:bCs/>
          <w:color w:val="44546A"/>
          <w:sz w:val="20"/>
          <w:szCs w:val="20"/>
        </w:rPr>
      </w:pPr>
      <w:r>
        <w:rPr>
          <w:rFonts w:ascii="Century Gothic" w:hAnsi="Century Gothic"/>
          <w:b/>
          <w:bCs/>
          <w:noProof/>
          <w:color w:val="44546A"/>
          <w:sz w:val="20"/>
          <w:szCs w:val="20"/>
        </w:rPr>
        <w:drawing>
          <wp:inline distT="0" distB="0" distL="0" distR="0" wp14:anchorId="3FC936C5" wp14:editId="0ED1640B">
            <wp:extent cx="5292000" cy="2084400"/>
            <wp:effectExtent l="0" t="0" r="4445" b="0"/>
            <wp:docPr id="31" name="Picture 31" descr="C:\Users\tahuk\Desktop\2006 e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huk\Desktop\2006 emp.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92000" cy="2084400"/>
                    </a:xfrm>
                    <a:prstGeom prst="rect">
                      <a:avLst/>
                    </a:prstGeom>
                    <a:noFill/>
                    <a:ln>
                      <a:noFill/>
                    </a:ln>
                  </pic:spPr>
                </pic:pic>
              </a:graphicData>
            </a:graphic>
          </wp:inline>
        </w:drawing>
      </w:r>
    </w:p>
    <w:p w14:paraId="072D4577" w14:textId="7936F19A" w:rsidR="00D144BC" w:rsidRDefault="00D144BC" w:rsidP="001B5D34">
      <w:pPr>
        <w:spacing w:after="0" w:line="360" w:lineRule="auto"/>
        <w:rPr>
          <w:rFonts w:ascii="Century Gothic" w:hAnsi="Century Gothic"/>
          <w:b/>
          <w:bCs/>
          <w:color w:val="44546A"/>
          <w:sz w:val="20"/>
          <w:szCs w:val="20"/>
        </w:rPr>
      </w:pPr>
    </w:p>
    <w:p w14:paraId="53142B1E" w14:textId="77777777" w:rsidR="001B5D34" w:rsidRDefault="001B5D34" w:rsidP="001B5D34">
      <w:pPr>
        <w:spacing w:after="0" w:line="360" w:lineRule="auto"/>
        <w:rPr>
          <w:rFonts w:ascii="Century Gothic" w:hAnsi="Century Gothic"/>
          <w:b/>
          <w:bCs/>
          <w:color w:val="44546A"/>
          <w:sz w:val="20"/>
          <w:szCs w:val="20"/>
        </w:rPr>
      </w:pPr>
    </w:p>
    <w:p w14:paraId="272617D5" w14:textId="137E842B" w:rsidR="000F2512" w:rsidRPr="00DF212D" w:rsidRDefault="000F2512" w:rsidP="001B5D34">
      <w:pPr>
        <w:spacing w:after="0" w:line="276" w:lineRule="auto"/>
        <w:rPr>
          <w:rFonts w:ascii="Century Gothic" w:eastAsiaTheme="majorEastAsia" w:hAnsi="Century Gothic" w:cstheme="majorBidi"/>
          <w:b/>
          <w:bCs/>
          <w:color w:val="4EAFC6"/>
          <w:sz w:val="21"/>
          <w:szCs w:val="21"/>
          <w:lang w:eastAsia="en-US"/>
        </w:rPr>
      </w:pPr>
      <w:bookmarkStart w:id="44" w:name="_Toc491783081"/>
      <w:r w:rsidRPr="000F2512">
        <w:rPr>
          <w:rFonts w:ascii="Century Gothic" w:hAnsi="Century Gothic"/>
          <w:b/>
          <w:bCs/>
          <w:color w:val="44546A"/>
          <w:sz w:val="20"/>
          <w:szCs w:val="20"/>
        </w:rPr>
        <w:t xml:space="preserve">Figure </w:t>
      </w:r>
      <w:r w:rsidRPr="000F2512">
        <w:rPr>
          <w:rFonts w:ascii="Century Gothic" w:hAnsi="Century Gothic"/>
          <w:b/>
          <w:bCs/>
          <w:color w:val="44546A"/>
          <w:sz w:val="20"/>
          <w:szCs w:val="20"/>
        </w:rPr>
        <w:fldChar w:fldCharType="begin"/>
      </w:r>
      <w:r w:rsidRPr="000F2512">
        <w:rPr>
          <w:rFonts w:ascii="Century Gothic" w:hAnsi="Century Gothic"/>
          <w:b/>
          <w:bCs/>
          <w:color w:val="44546A"/>
          <w:sz w:val="20"/>
          <w:szCs w:val="20"/>
        </w:rPr>
        <w:instrText xml:space="preserve"> STYLEREF 1 \s </w:instrText>
      </w:r>
      <w:r w:rsidRPr="000F2512">
        <w:rPr>
          <w:rFonts w:ascii="Century Gothic" w:hAnsi="Century Gothic"/>
          <w:b/>
          <w:bCs/>
          <w:color w:val="44546A"/>
          <w:sz w:val="20"/>
          <w:szCs w:val="20"/>
        </w:rPr>
        <w:fldChar w:fldCharType="separate"/>
      </w:r>
      <w:r w:rsidR="001470A9">
        <w:rPr>
          <w:rFonts w:ascii="Century Gothic" w:hAnsi="Century Gothic" w:hint="cs"/>
          <w:b/>
          <w:bCs/>
          <w:noProof/>
          <w:color w:val="44546A"/>
          <w:sz w:val="20"/>
          <w:szCs w:val="20"/>
          <w:cs/>
        </w:rPr>
        <w:t>‎</w:t>
      </w:r>
      <w:r w:rsidR="001470A9">
        <w:rPr>
          <w:rFonts w:ascii="Century Gothic" w:hAnsi="Century Gothic"/>
          <w:b/>
          <w:bCs/>
          <w:noProof/>
          <w:color w:val="44546A"/>
          <w:sz w:val="20"/>
          <w:szCs w:val="20"/>
        </w:rPr>
        <w:t>4</w:t>
      </w:r>
      <w:r w:rsidRPr="000F2512">
        <w:rPr>
          <w:rFonts w:ascii="Century Gothic" w:hAnsi="Century Gothic"/>
          <w:b/>
          <w:bCs/>
          <w:color w:val="44546A"/>
          <w:sz w:val="20"/>
          <w:szCs w:val="20"/>
        </w:rPr>
        <w:fldChar w:fldCharType="end"/>
      </w:r>
      <w:r w:rsidRPr="000F2512">
        <w:rPr>
          <w:rFonts w:ascii="Century Gothic" w:hAnsi="Century Gothic"/>
          <w:b/>
          <w:bCs/>
          <w:color w:val="44546A"/>
          <w:sz w:val="20"/>
          <w:szCs w:val="20"/>
        </w:rPr>
        <w:t>.</w:t>
      </w:r>
      <w:r w:rsidRPr="000F2512">
        <w:rPr>
          <w:rFonts w:ascii="Century Gothic" w:hAnsi="Century Gothic"/>
          <w:b/>
          <w:bCs/>
          <w:color w:val="44546A"/>
          <w:sz w:val="20"/>
          <w:szCs w:val="20"/>
        </w:rPr>
        <w:fldChar w:fldCharType="begin"/>
      </w:r>
      <w:r w:rsidRPr="000F2512">
        <w:rPr>
          <w:rFonts w:ascii="Century Gothic" w:hAnsi="Century Gothic"/>
          <w:b/>
          <w:bCs/>
          <w:color w:val="44546A"/>
          <w:sz w:val="20"/>
          <w:szCs w:val="20"/>
        </w:rPr>
        <w:instrText xml:space="preserve"> SEQ Figure \* ARABIC \s 1 </w:instrText>
      </w:r>
      <w:r w:rsidRPr="000F2512">
        <w:rPr>
          <w:rFonts w:ascii="Century Gothic" w:hAnsi="Century Gothic"/>
          <w:b/>
          <w:bCs/>
          <w:color w:val="44546A"/>
          <w:sz w:val="20"/>
          <w:szCs w:val="20"/>
        </w:rPr>
        <w:fldChar w:fldCharType="separate"/>
      </w:r>
      <w:r w:rsidR="001470A9">
        <w:rPr>
          <w:rFonts w:ascii="Century Gothic" w:hAnsi="Century Gothic"/>
          <w:b/>
          <w:bCs/>
          <w:noProof/>
          <w:color w:val="44546A"/>
          <w:sz w:val="20"/>
          <w:szCs w:val="20"/>
        </w:rPr>
        <w:t>4</w:t>
      </w:r>
      <w:r w:rsidRPr="000F2512">
        <w:rPr>
          <w:rFonts w:ascii="Century Gothic" w:hAnsi="Century Gothic"/>
          <w:b/>
          <w:bCs/>
          <w:color w:val="44546A"/>
          <w:sz w:val="20"/>
          <w:szCs w:val="20"/>
        </w:rPr>
        <w:fldChar w:fldCharType="end"/>
      </w:r>
      <w:r w:rsidRPr="000F2512">
        <w:rPr>
          <w:rFonts w:ascii="Century Gothic" w:hAnsi="Century Gothic"/>
          <w:b/>
          <w:bCs/>
          <w:color w:val="44546A"/>
          <w:sz w:val="20"/>
          <w:szCs w:val="20"/>
        </w:rPr>
        <w:t xml:space="preserve"> Employment rate of </w:t>
      </w:r>
      <w:proofErr w:type="spellStart"/>
      <w:r w:rsidRPr="000F2512">
        <w:rPr>
          <w:rFonts w:ascii="Century Gothic" w:hAnsi="Century Gothic"/>
          <w:b/>
          <w:bCs/>
          <w:color w:val="44546A"/>
          <w:sz w:val="20"/>
          <w:szCs w:val="20"/>
        </w:rPr>
        <w:t>Ngāi</w:t>
      </w:r>
      <w:proofErr w:type="spellEnd"/>
      <w:r w:rsidRPr="000F2512">
        <w:rPr>
          <w:rFonts w:ascii="Century Gothic" w:hAnsi="Century Gothic"/>
          <w:b/>
          <w:bCs/>
          <w:color w:val="44546A"/>
          <w:sz w:val="20"/>
          <w:szCs w:val="20"/>
        </w:rPr>
        <w:t xml:space="preserve"> </w:t>
      </w:r>
      <w:proofErr w:type="spellStart"/>
      <w:r w:rsidRPr="000F2512">
        <w:rPr>
          <w:rFonts w:ascii="Century Gothic" w:hAnsi="Century Gothic"/>
          <w:b/>
          <w:bCs/>
          <w:color w:val="44546A"/>
          <w:sz w:val="20"/>
          <w:szCs w:val="20"/>
        </w:rPr>
        <w:t>Tāmanuhiri</w:t>
      </w:r>
      <w:proofErr w:type="spellEnd"/>
      <w:r w:rsidRPr="000F2512">
        <w:rPr>
          <w:rFonts w:ascii="Century Gothic" w:hAnsi="Century Gothic"/>
          <w:b/>
          <w:bCs/>
          <w:color w:val="44546A"/>
          <w:sz w:val="20"/>
          <w:szCs w:val="20"/>
        </w:rPr>
        <w:t xml:space="preserve">, </w:t>
      </w:r>
      <w:proofErr w:type="spellStart"/>
      <w:r w:rsidRPr="000F2512">
        <w:rPr>
          <w:rFonts w:ascii="Century Gothic" w:hAnsi="Century Gothic"/>
          <w:b/>
          <w:bCs/>
          <w:color w:val="44546A"/>
          <w:sz w:val="20"/>
          <w:szCs w:val="20"/>
        </w:rPr>
        <w:t>Ngāi</w:t>
      </w:r>
      <w:proofErr w:type="spellEnd"/>
      <w:r w:rsidRPr="000F2512">
        <w:rPr>
          <w:rFonts w:ascii="Century Gothic" w:hAnsi="Century Gothic"/>
          <w:b/>
          <w:bCs/>
          <w:color w:val="44546A"/>
          <w:sz w:val="20"/>
          <w:szCs w:val="20"/>
        </w:rPr>
        <w:t xml:space="preserve"> </w:t>
      </w:r>
      <w:proofErr w:type="spellStart"/>
      <w:r w:rsidRPr="000F2512">
        <w:rPr>
          <w:rFonts w:ascii="Century Gothic" w:hAnsi="Century Gothic"/>
          <w:b/>
          <w:bCs/>
          <w:color w:val="44546A"/>
          <w:sz w:val="20"/>
          <w:szCs w:val="20"/>
        </w:rPr>
        <w:t>Tāmanuhiri</w:t>
      </w:r>
      <w:proofErr w:type="spellEnd"/>
      <w:r w:rsidRPr="000F2512">
        <w:rPr>
          <w:rFonts w:ascii="Century Gothic" w:hAnsi="Century Gothic"/>
          <w:b/>
          <w:bCs/>
          <w:color w:val="44546A"/>
          <w:sz w:val="20"/>
          <w:szCs w:val="20"/>
        </w:rPr>
        <w:t xml:space="preserve"> resident in </w:t>
      </w:r>
      <w:proofErr w:type="spellStart"/>
      <w:r w:rsidRPr="000F2512">
        <w:rPr>
          <w:rFonts w:ascii="Century Gothic" w:hAnsi="Century Gothic"/>
          <w:b/>
          <w:bCs/>
          <w:color w:val="44546A"/>
          <w:sz w:val="20"/>
          <w:szCs w:val="20"/>
        </w:rPr>
        <w:t>Gisborne</w:t>
      </w:r>
      <w:proofErr w:type="spellEnd"/>
      <w:r w:rsidRPr="000F2512">
        <w:rPr>
          <w:rFonts w:ascii="Century Gothic" w:hAnsi="Century Gothic"/>
          <w:b/>
          <w:bCs/>
          <w:color w:val="44546A"/>
          <w:sz w:val="20"/>
          <w:szCs w:val="20"/>
        </w:rPr>
        <w:t>, and the total M</w:t>
      </w:r>
      <w:r w:rsidR="001B5D34">
        <w:rPr>
          <w:rFonts w:ascii="Century Gothic" w:hAnsi="Century Gothic"/>
          <w:b/>
          <w:bCs/>
          <w:color w:val="44546A"/>
          <w:sz w:val="20"/>
          <w:szCs w:val="20"/>
        </w:rPr>
        <w:t>ā</w:t>
      </w:r>
      <w:r w:rsidRPr="000F2512">
        <w:rPr>
          <w:rFonts w:ascii="Century Gothic" w:hAnsi="Century Gothic"/>
          <w:b/>
          <w:bCs/>
          <w:color w:val="44546A"/>
          <w:sz w:val="20"/>
          <w:szCs w:val="20"/>
        </w:rPr>
        <w:t>ori descent populat</w:t>
      </w:r>
      <w:r>
        <w:rPr>
          <w:rFonts w:ascii="Century Gothic" w:hAnsi="Century Gothic"/>
          <w:b/>
          <w:bCs/>
          <w:color w:val="44546A"/>
          <w:sz w:val="20"/>
          <w:szCs w:val="20"/>
        </w:rPr>
        <w:t>ion; adults aged 15+ years; 2013</w:t>
      </w:r>
      <w:r>
        <w:rPr>
          <w:rFonts w:ascii="Century Gothic" w:hAnsi="Century Gothic"/>
          <w:b/>
          <w:bCs/>
          <w:noProof/>
          <w:color w:val="44546A"/>
          <w:sz w:val="20"/>
          <w:szCs w:val="20"/>
        </w:rPr>
        <w:drawing>
          <wp:inline distT="0" distB="0" distL="0" distR="0" wp14:anchorId="5E42650C" wp14:editId="11F7B471">
            <wp:extent cx="5198400" cy="2048400"/>
            <wp:effectExtent l="0" t="0" r="2540" b="9525"/>
            <wp:docPr id="33" name="Picture 33" descr="C:\Users\tahuk\Desktop\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ahuk\Desktop\2013.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198400" cy="2048400"/>
                    </a:xfrm>
                    <a:prstGeom prst="rect">
                      <a:avLst/>
                    </a:prstGeom>
                    <a:noFill/>
                    <a:ln>
                      <a:noFill/>
                    </a:ln>
                  </pic:spPr>
                </pic:pic>
              </a:graphicData>
            </a:graphic>
          </wp:inline>
        </w:drawing>
      </w:r>
      <w:r w:rsidRPr="000F2512">
        <w:rPr>
          <w:rFonts w:ascii="Century Gothic" w:hAnsi="Century Gothic"/>
          <w:b/>
          <w:bCs/>
          <w:color w:val="44546A"/>
          <w:sz w:val="20"/>
          <w:szCs w:val="20"/>
        </w:rPr>
        <w:t xml:space="preserve"> census</w:t>
      </w:r>
      <w:bookmarkEnd w:id="44"/>
    </w:p>
    <w:p w14:paraId="350A2A38" w14:textId="01479DC8" w:rsidR="00D144BC" w:rsidRDefault="00D144BC" w:rsidP="006001B0">
      <w:pPr>
        <w:spacing w:after="0" w:line="276" w:lineRule="auto"/>
        <w:rPr>
          <w:rFonts w:ascii="Century Gothic" w:hAnsi="Century Gothic"/>
          <w:b/>
          <w:bCs/>
          <w:color w:val="44546A"/>
          <w:sz w:val="20"/>
          <w:szCs w:val="20"/>
        </w:rPr>
      </w:pPr>
    </w:p>
    <w:p w14:paraId="337CC398" w14:textId="7F6A1E17" w:rsidR="00D144BC" w:rsidRDefault="00D144BC" w:rsidP="006001B0">
      <w:pPr>
        <w:spacing w:after="0" w:line="276" w:lineRule="auto"/>
        <w:rPr>
          <w:rFonts w:ascii="Century Gothic" w:hAnsi="Century Gothic"/>
          <w:b/>
          <w:bCs/>
          <w:color w:val="44546A"/>
          <w:sz w:val="20"/>
          <w:szCs w:val="20"/>
        </w:rPr>
      </w:pPr>
    </w:p>
    <w:p w14:paraId="7AD04938" w14:textId="2B460293" w:rsidR="00D144BC" w:rsidRDefault="00D144BC" w:rsidP="006001B0">
      <w:pPr>
        <w:spacing w:after="0" w:line="276" w:lineRule="auto"/>
        <w:rPr>
          <w:rFonts w:ascii="Century Gothic" w:hAnsi="Century Gothic"/>
          <w:b/>
          <w:bCs/>
          <w:color w:val="44546A"/>
          <w:sz w:val="20"/>
          <w:szCs w:val="20"/>
        </w:rPr>
      </w:pPr>
    </w:p>
    <w:p w14:paraId="390443A5" w14:textId="77777777" w:rsidR="00ED72AD" w:rsidRDefault="00ED72AD" w:rsidP="00695ADA">
      <w:pPr>
        <w:spacing w:after="0" w:line="276" w:lineRule="auto"/>
        <w:rPr>
          <w:rFonts w:ascii="Century Gothic" w:hAnsi="Century Gothic"/>
          <w:b/>
          <w:bCs/>
          <w:color w:val="44546A"/>
          <w:sz w:val="20"/>
          <w:szCs w:val="20"/>
        </w:rPr>
      </w:pPr>
    </w:p>
    <w:p w14:paraId="48683F2F" w14:textId="0913C102" w:rsidR="008E7DF6" w:rsidRDefault="00576B10" w:rsidP="00695ADA">
      <w:pPr>
        <w:spacing w:after="0" w:line="276" w:lineRule="auto"/>
        <w:rPr>
          <w:rFonts w:ascii="Century Gothic" w:hAnsi="Century Gothic"/>
          <w:b/>
          <w:bCs/>
          <w:color w:val="44546A"/>
          <w:sz w:val="20"/>
          <w:szCs w:val="20"/>
        </w:rPr>
      </w:pPr>
      <w:bookmarkStart w:id="45" w:name="_Toc491783082"/>
      <w:r w:rsidRPr="000F2512">
        <w:rPr>
          <w:rFonts w:ascii="Century Gothic" w:hAnsi="Century Gothic"/>
          <w:b/>
          <w:bCs/>
          <w:color w:val="44546A"/>
          <w:sz w:val="20"/>
          <w:szCs w:val="20"/>
        </w:rPr>
        <w:lastRenderedPageBreak/>
        <w:t xml:space="preserve">Figure </w:t>
      </w:r>
      <w:r w:rsidRPr="000F2512">
        <w:rPr>
          <w:rFonts w:ascii="Century Gothic" w:hAnsi="Century Gothic"/>
          <w:b/>
          <w:bCs/>
          <w:color w:val="44546A"/>
          <w:sz w:val="20"/>
          <w:szCs w:val="20"/>
        </w:rPr>
        <w:fldChar w:fldCharType="begin"/>
      </w:r>
      <w:r w:rsidRPr="000F2512">
        <w:rPr>
          <w:rFonts w:ascii="Century Gothic" w:hAnsi="Century Gothic"/>
          <w:b/>
          <w:bCs/>
          <w:color w:val="44546A"/>
          <w:sz w:val="20"/>
          <w:szCs w:val="20"/>
        </w:rPr>
        <w:instrText xml:space="preserve"> STYLEREF 1 \s </w:instrText>
      </w:r>
      <w:r w:rsidRPr="000F2512">
        <w:rPr>
          <w:rFonts w:ascii="Century Gothic" w:hAnsi="Century Gothic"/>
          <w:b/>
          <w:bCs/>
          <w:color w:val="44546A"/>
          <w:sz w:val="20"/>
          <w:szCs w:val="20"/>
        </w:rPr>
        <w:fldChar w:fldCharType="separate"/>
      </w:r>
      <w:r w:rsidR="001470A9">
        <w:rPr>
          <w:rFonts w:ascii="Century Gothic" w:hAnsi="Century Gothic" w:hint="cs"/>
          <w:b/>
          <w:bCs/>
          <w:noProof/>
          <w:color w:val="44546A"/>
          <w:sz w:val="20"/>
          <w:szCs w:val="20"/>
          <w:cs/>
        </w:rPr>
        <w:t>‎</w:t>
      </w:r>
      <w:r w:rsidR="001470A9">
        <w:rPr>
          <w:rFonts w:ascii="Century Gothic" w:hAnsi="Century Gothic"/>
          <w:b/>
          <w:bCs/>
          <w:noProof/>
          <w:color w:val="44546A"/>
          <w:sz w:val="20"/>
          <w:szCs w:val="20"/>
        </w:rPr>
        <w:t>4</w:t>
      </w:r>
      <w:r w:rsidRPr="000F2512">
        <w:rPr>
          <w:rFonts w:ascii="Century Gothic" w:hAnsi="Century Gothic"/>
          <w:b/>
          <w:bCs/>
          <w:color w:val="44546A"/>
          <w:sz w:val="20"/>
          <w:szCs w:val="20"/>
        </w:rPr>
        <w:fldChar w:fldCharType="end"/>
      </w:r>
      <w:r w:rsidRPr="000F2512">
        <w:rPr>
          <w:rFonts w:ascii="Century Gothic" w:hAnsi="Century Gothic"/>
          <w:b/>
          <w:bCs/>
          <w:color w:val="44546A"/>
          <w:sz w:val="20"/>
          <w:szCs w:val="20"/>
        </w:rPr>
        <w:t>.</w:t>
      </w:r>
      <w:r w:rsidRPr="000F2512">
        <w:rPr>
          <w:rFonts w:ascii="Century Gothic" w:hAnsi="Century Gothic"/>
          <w:b/>
          <w:bCs/>
          <w:color w:val="44546A"/>
          <w:sz w:val="20"/>
          <w:szCs w:val="20"/>
        </w:rPr>
        <w:fldChar w:fldCharType="begin"/>
      </w:r>
      <w:r w:rsidRPr="000F2512">
        <w:rPr>
          <w:rFonts w:ascii="Century Gothic" w:hAnsi="Century Gothic"/>
          <w:b/>
          <w:bCs/>
          <w:color w:val="44546A"/>
          <w:sz w:val="20"/>
          <w:szCs w:val="20"/>
        </w:rPr>
        <w:instrText xml:space="preserve"> SEQ Figure \* ARABIC \s 1 </w:instrText>
      </w:r>
      <w:r w:rsidRPr="000F2512">
        <w:rPr>
          <w:rFonts w:ascii="Century Gothic" w:hAnsi="Century Gothic"/>
          <w:b/>
          <w:bCs/>
          <w:color w:val="44546A"/>
          <w:sz w:val="20"/>
          <w:szCs w:val="20"/>
        </w:rPr>
        <w:fldChar w:fldCharType="separate"/>
      </w:r>
      <w:r w:rsidR="001470A9">
        <w:rPr>
          <w:rFonts w:ascii="Century Gothic" w:hAnsi="Century Gothic"/>
          <w:b/>
          <w:bCs/>
          <w:noProof/>
          <w:color w:val="44546A"/>
          <w:sz w:val="20"/>
          <w:szCs w:val="20"/>
        </w:rPr>
        <w:t>5</w:t>
      </w:r>
      <w:r w:rsidRPr="000F2512">
        <w:rPr>
          <w:rFonts w:ascii="Century Gothic" w:hAnsi="Century Gothic"/>
          <w:b/>
          <w:bCs/>
          <w:color w:val="44546A"/>
          <w:sz w:val="20"/>
          <w:szCs w:val="20"/>
        </w:rPr>
        <w:fldChar w:fldCharType="end"/>
      </w:r>
      <w:r w:rsidRPr="000F2512">
        <w:rPr>
          <w:rFonts w:ascii="Century Gothic" w:hAnsi="Century Gothic"/>
          <w:b/>
          <w:bCs/>
          <w:color w:val="44546A"/>
          <w:sz w:val="20"/>
          <w:szCs w:val="20"/>
        </w:rPr>
        <w:t xml:space="preserve"> </w:t>
      </w:r>
      <w:r w:rsidR="008E7DF6" w:rsidRPr="000F2512">
        <w:rPr>
          <w:rFonts w:ascii="Century Gothic" w:hAnsi="Century Gothic"/>
          <w:b/>
          <w:bCs/>
          <w:color w:val="44546A"/>
          <w:sz w:val="20"/>
          <w:szCs w:val="20"/>
        </w:rPr>
        <w:t xml:space="preserve">Employment rate of </w:t>
      </w:r>
      <w:proofErr w:type="spellStart"/>
      <w:proofErr w:type="gramStart"/>
      <w:r w:rsidR="00695ADA">
        <w:rPr>
          <w:rFonts w:ascii="Century Gothic" w:hAnsi="Century Gothic"/>
          <w:b/>
          <w:bCs/>
          <w:color w:val="44546A"/>
          <w:sz w:val="20"/>
          <w:szCs w:val="20"/>
        </w:rPr>
        <w:t>t</w:t>
      </w:r>
      <w:r w:rsidR="000B60A9" w:rsidRPr="000F2512">
        <w:rPr>
          <w:rFonts w:ascii="Century Gothic" w:hAnsi="Century Gothic"/>
          <w:b/>
          <w:bCs/>
          <w:color w:val="44546A"/>
          <w:sz w:val="20"/>
          <w:szCs w:val="20"/>
        </w:rPr>
        <w:t>e</w:t>
      </w:r>
      <w:proofErr w:type="spellEnd"/>
      <w:proofErr w:type="gramEnd"/>
      <w:r w:rsidR="000B60A9" w:rsidRPr="000F2512">
        <w:rPr>
          <w:rFonts w:ascii="Century Gothic" w:hAnsi="Century Gothic"/>
          <w:b/>
          <w:bCs/>
          <w:color w:val="44546A"/>
          <w:sz w:val="20"/>
          <w:szCs w:val="20"/>
        </w:rPr>
        <w:t xml:space="preserve"> reo Māori</w:t>
      </w:r>
      <w:r w:rsidR="008E7DF6" w:rsidRPr="000F2512">
        <w:rPr>
          <w:rFonts w:ascii="Century Gothic" w:hAnsi="Century Gothic"/>
          <w:b/>
          <w:bCs/>
          <w:color w:val="44546A"/>
          <w:sz w:val="20"/>
          <w:szCs w:val="20"/>
        </w:rPr>
        <w:t xml:space="preserve"> speakers; </w:t>
      </w:r>
      <w:proofErr w:type="spellStart"/>
      <w:r w:rsidR="008E7DF6" w:rsidRPr="000F2512">
        <w:rPr>
          <w:rFonts w:ascii="Century Gothic" w:hAnsi="Century Gothic"/>
          <w:b/>
          <w:bCs/>
          <w:color w:val="44546A"/>
          <w:sz w:val="20"/>
          <w:szCs w:val="20"/>
        </w:rPr>
        <w:t>Ngāi</w:t>
      </w:r>
      <w:proofErr w:type="spellEnd"/>
      <w:r w:rsidR="008E7DF6" w:rsidRPr="000F2512">
        <w:rPr>
          <w:rFonts w:ascii="Century Gothic" w:hAnsi="Century Gothic"/>
          <w:b/>
          <w:bCs/>
          <w:color w:val="44546A"/>
          <w:sz w:val="20"/>
          <w:szCs w:val="20"/>
        </w:rPr>
        <w:t xml:space="preserve"> </w:t>
      </w:r>
      <w:proofErr w:type="spellStart"/>
      <w:r w:rsidR="008E7DF6" w:rsidRPr="000F2512">
        <w:rPr>
          <w:rFonts w:ascii="Century Gothic" w:hAnsi="Century Gothic"/>
          <w:b/>
          <w:bCs/>
          <w:color w:val="44546A"/>
          <w:sz w:val="20"/>
          <w:szCs w:val="20"/>
        </w:rPr>
        <w:t>Tāmanuhiri</w:t>
      </w:r>
      <w:proofErr w:type="spellEnd"/>
      <w:r w:rsidR="008E7DF6" w:rsidRPr="000F2512">
        <w:rPr>
          <w:rFonts w:ascii="Century Gothic" w:hAnsi="Century Gothic"/>
          <w:b/>
          <w:bCs/>
          <w:color w:val="44546A"/>
          <w:sz w:val="20"/>
          <w:szCs w:val="20"/>
        </w:rPr>
        <w:t xml:space="preserve"> iwi and the Māori descent population; 2013 Census</w:t>
      </w:r>
      <w:bookmarkEnd w:id="45"/>
    </w:p>
    <w:p w14:paraId="67C8F5FA" w14:textId="3E8F6F78" w:rsidR="00576B10" w:rsidRDefault="00695ADA" w:rsidP="00576B10">
      <w:pPr>
        <w:spacing w:after="0" w:line="276" w:lineRule="auto"/>
        <w:rPr>
          <w:rFonts w:ascii="Century Gothic" w:hAnsi="Century Gothic"/>
          <w:b/>
          <w:bCs/>
          <w:color w:val="44546A"/>
          <w:sz w:val="20"/>
          <w:szCs w:val="20"/>
        </w:rPr>
      </w:pPr>
      <w:r>
        <w:rPr>
          <w:rFonts w:ascii="Century Gothic" w:hAnsi="Century Gothic"/>
          <w:b/>
          <w:bCs/>
          <w:noProof/>
          <w:color w:val="44546A"/>
          <w:sz w:val="20"/>
          <w:szCs w:val="20"/>
        </w:rPr>
        <w:drawing>
          <wp:inline distT="0" distB="0" distL="0" distR="0" wp14:anchorId="17D703D3" wp14:editId="1FB411A8">
            <wp:extent cx="5292000" cy="2084400"/>
            <wp:effectExtent l="0" t="0" r="4445" b="0"/>
            <wp:docPr id="40" name="Picture 40" descr="C:\Users\tahuk\Desktop\speak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huk\Desktop\speakers.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92000" cy="2084400"/>
                    </a:xfrm>
                    <a:prstGeom prst="rect">
                      <a:avLst/>
                    </a:prstGeom>
                    <a:noFill/>
                    <a:ln>
                      <a:noFill/>
                    </a:ln>
                  </pic:spPr>
                </pic:pic>
              </a:graphicData>
            </a:graphic>
          </wp:inline>
        </w:drawing>
      </w:r>
    </w:p>
    <w:p w14:paraId="2391630B" w14:textId="77777777" w:rsidR="00576B10" w:rsidRDefault="00576B10" w:rsidP="00576B10">
      <w:pPr>
        <w:spacing w:after="0" w:line="276" w:lineRule="auto"/>
        <w:rPr>
          <w:rFonts w:ascii="Century Gothic" w:hAnsi="Century Gothic"/>
          <w:b/>
          <w:bCs/>
          <w:color w:val="44546A"/>
          <w:sz w:val="20"/>
          <w:szCs w:val="20"/>
        </w:rPr>
      </w:pPr>
    </w:p>
    <w:p w14:paraId="1B917411" w14:textId="77777777" w:rsidR="00576B10" w:rsidRDefault="00576B10" w:rsidP="00576B10">
      <w:pPr>
        <w:spacing w:after="0" w:line="276" w:lineRule="auto"/>
        <w:rPr>
          <w:rFonts w:ascii="Century Gothic" w:hAnsi="Century Gothic"/>
          <w:b/>
          <w:bCs/>
          <w:color w:val="44546A"/>
          <w:sz w:val="20"/>
          <w:szCs w:val="20"/>
        </w:rPr>
      </w:pPr>
    </w:p>
    <w:p w14:paraId="2A6329C5" w14:textId="4449B9B5" w:rsidR="00BE33F1" w:rsidRPr="00DE7843" w:rsidRDefault="00EC4F4C" w:rsidP="00EC4F4C">
      <w:pPr>
        <w:spacing w:after="0" w:line="360" w:lineRule="auto"/>
        <w:rPr>
          <w:rFonts w:ascii="Century Gothic" w:hAnsi="Century Gothic"/>
          <w:sz w:val="21"/>
          <w:szCs w:val="21"/>
        </w:rPr>
      </w:pPr>
      <w:r>
        <w:rPr>
          <w:rFonts w:ascii="Century Gothic" w:hAnsi="Century Gothic"/>
          <w:sz w:val="21"/>
          <w:szCs w:val="21"/>
        </w:rPr>
        <w:t xml:space="preserve">How many hours per week do </w:t>
      </w:r>
      <w:proofErr w:type="spellStart"/>
      <w:r>
        <w:rPr>
          <w:rFonts w:ascii="Century Gothic" w:hAnsi="Century Gothic"/>
          <w:sz w:val="21"/>
          <w:szCs w:val="21"/>
        </w:rPr>
        <w:t>Ngāi</w:t>
      </w:r>
      <w:proofErr w:type="spellEnd"/>
      <w:r>
        <w:rPr>
          <w:rFonts w:ascii="Century Gothic" w:hAnsi="Century Gothic"/>
          <w:sz w:val="21"/>
          <w:szCs w:val="21"/>
        </w:rPr>
        <w:t xml:space="preserve"> </w:t>
      </w:r>
      <w:proofErr w:type="spellStart"/>
      <w:r>
        <w:rPr>
          <w:rFonts w:ascii="Century Gothic" w:hAnsi="Century Gothic"/>
          <w:sz w:val="21"/>
          <w:szCs w:val="21"/>
        </w:rPr>
        <w:t>Tāmanuhiri</w:t>
      </w:r>
      <w:proofErr w:type="spellEnd"/>
      <w:r>
        <w:rPr>
          <w:rFonts w:ascii="Century Gothic" w:hAnsi="Century Gothic"/>
          <w:sz w:val="21"/>
          <w:szCs w:val="21"/>
        </w:rPr>
        <w:t xml:space="preserve"> members spend working? </w:t>
      </w:r>
      <w:r w:rsidR="00BE33F1" w:rsidRPr="00DE7843">
        <w:rPr>
          <w:rFonts w:ascii="Century Gothic" w:hAnsi="Century Gothic"/>
          <w:sz w:val="21"/>
          <w:szCs w:val="21"/>
        </w:rPr>
        <w:t xml:space="preserve">There are a range of reasons why some people are engaged in part-time versus full-time work, only some of which </w:t>
      </w:r>
      <w:r w:rsidR="001B5D34">
        <w:rPr>
          <w:rFonts w:ascii="Century Gothic" w:hAnsi="Century Gothic"/>
          <w:sz w:val="21"/>
          <w:szCs w:val="21"/>
        </w:rPr>
        <w:t>are</w:t>
      </w:r>
      <w:r w:rsidR="00BE33F1" w:rsidRPr="00DE7843">
        <w:rPr>
          <w:rFonts w:ascii="Century Gothic" w:hAnsi="Century Gothic"/>
          <w:sz w:val="21"/>
          <w:szCs w:val="21"/>
        </w:rPr>
        <w:t xml:space="preserve"> due to individual choice. Studies have shown that women are far more likely than men to be in part-time work, especially at peak childbearing ages, and Māori are more likely to be part-time work than European and Asian peoples. While part-time work offers greater flexibility, it also means less income and can act as an impediment to </w:t>
      </w:r>
      <w:r w:rsidR="00434B79" w:rsidRPr="00DE7843">
        <w:rPr>
          <w:rFonts w:ascii="Century Gothic" w:hAnsi="Century Gothic"/>
          <w:sz w:val="21"/>
          <w:szCs w:val="21"/>
        </w:rPr>
        <w:t>occupational and career advancement</w:t>
      </w:r>
      <w:r w:rsidR="00BE33F1" w:rsidRPr="00DE7843">
        <w:rPr>
          <w:rFonts w:ascii="Century Gothic" w:hAnsi="Century Gothic"/>
          <w:sz w:val="21"/>
          <w:szCs w:val="21"/>
        </w:rPr>
        <w:t>.</w:t>
      </w:r>
    </w:p>
    <w:p w14:paraId="5728820C" w14:textId="77777777" w:rsidR="00BE33F1" w:rsidRPr="00DE7843" w:rsidRDefault="00BE33F1" w:rsidP="0034739C">
      <w:pPr>
        <w:spacing w:after="0" w:line="360" w:lineRule="auto"/>
        <w:rPr>
          <w:rFonts w:ascii="Century Gothic" w:hAnsi="Century Gothic"/>
          <w:sz w:val="21"/>
          <w:szCs w:val="21"/>
        </w:rPr>
      </w:pPr>
    </w:p>
    <w:p w14:paraId="6935B203" w14:textId="3F19F350" w:rsidR="00576B10" w:rsidRPr="00DE7843" w:rsidRDefault="00BE33F1" w:rsidP="00BE33F1">
      <w:pPr>
        <w:spacing w:after="0" w:line="360" w:lineRule="auto"/>
        <w:rPr>
          <w:rFonts w:ascii="Century Gothic" w:hAnsi="Century Gothic"/>
          <w:sz w:val="21"/>
          <w:szCs w:val="21"/>
        </w:rPr>
      </w:pPr>
      <w:r w:rsidRPr="00DE7843">
        <w:rPr>
          <w:rFonts w:ascii="Century Gothic" w:hAnsi="Century Gothic"/>
          <w:sz w:val="21"/>
          <w:szCs w:val="21"/>
        </w:rPr>
        <w:t>Figure 4.5 shows the percentage</w:t>
      </w:r>
      <w:r w:rsidR="0034739C" w:rsidRPr="00DE7843">
        <w:rPr>
          <w:rFonts w:ascii="Century Gothic" w:hAnsi="Century Gothic"/>
          <w:sz w:val="21"/>
          <w:szCs w:val="21"/>
        </w:rPr>
        <w:t xml:space="preserve"> </w:t>
      </w:r>
      <w:r w:rsidRPr="00DE7843">
        <w:rPr>
          <w:rFonts w:ascii="Century Gothic" w:hAnsi="Century Gothic"/>
          <w:sz w:val="21"/>
          <w:szCs w:val="21"/>
        </w:rPr>
        <w:t xml:space="preserve">of </w:t>
      </w:r>
      <w:proofErr w:type="spellStart"/>
      <w:r w:rsidRPr="00DE7843">
        <w:rPr>
          <w:rFonts w:ascii="Century Gothic" w:hAnsi="Century Gothic"/>
          <w:sz w:val="21"/>
          <w:szCs w:val="21"/>
        </w:rPr>
        <w:t>Ngāi</w:t>
      </w:r>
      <w:proofErr w:type="spellEnd"/>
      <w:r w:rsidRPr="00DE7843">
        <w:rPr>
          <w:rFonts w:ascii="Century Gothic" w:hAnsi="Century Gothic"/>
          <w:sz w:val="21"/>
          <w:szCs w:val="21"/>
        </w:rPr>
        <w:t xml:space="preserve"> </w:t>
      </w:r>
      <w:proofErr w:type="spellStart"/>
      <w:r w:rsidRPr="00DE7843">
        <w:rPr>
          <w:rFonts w:ascii="Century Gothic" w:hAnsi="Century Gothic"/>
          <w:sz w:val="21"/>
          <w:szCs w:val="21"/>
        </w:rPr>
        <w:t>Tāmanuhiri</w:t>
      </w:r>
      <w:proofErr w:type="spellEnd"/>
      <w:r w:rsidRPr="00DE7843">
        <w:rPr>
          <w:rFonts w:ascii="Century Gothic" w:hAnsi="Century Gothic"/>
          <w:sz w:val="21"/>
          <w:szCs w:val="21"/>
        </w:rPr>
        <w:t xml:space="preserve"> employed adults </w:t>
      </w:r>
      <w:r w:rsidR="0034739C" w:rsidRPr="00DE7843">
        <w:rPr>
          <w:rFonts w:ascii="Century Gothic" w:hAnsi="Century Gothic"/>
          <w:sz w:val="21"/>
          <w:szCs w:val="21"/>
        </w:rPr>
        <w:t xml:space="preserve">engaged in full-time (30 hours or more a week) </w:t>
      </w:r>
      <w:r w:rsidRPr="00DE7843">
        <w:rPr>
          <w:rFonts w:ascii="Century Gothic" w:hAnsi="Century Gothic"/>
          <w:sz w:val="21"/>
          <w:szCs w:val="21"/>
        </w:rPr>
        <w:t>and</w:t>
      </w:r>
      <w:r w:rsidR="0034739C" w:rsidRPr="00DE7843">
        <w:rPr>
          <w:rFonts w:ascii="Century Gothic" w:hAnsi="Century Gothic"/>
          <w:sz w:val="21"/>
          <w:szCs w:val="21"/>
        </w:rPr>
        <w:t xml:space="preserve"> part-time work</w:t>
      </w:r>
      <w:r w:rsidRPr="00DE7843">
        <w:rPr>
          <w:rFonts w:ascii="Century Gothic" w:hAnsi="Century Gothic"/>
          <w:sz w:val="21"/>
          <w:szCs w:val="21"/>
        </w:rPr>
        <w:t xml:space="preserve"> in 2013</w:t>
      </w:r>
      <w:r w:rsidR="0034739C" w:rsidRPr="00DE7843">
        <w:rPr>
          <w:rFonts w:ascii="Century Gothic" w:hAnsi="Century Gothic"/>
          <w:sz w:val="21"/>
          <w:szCs w:val="21"/>
        </w:rPr>
        <w:t xml:space="preserve">. </w:t>
      </w:r>
      <w:r w:rsidRPr="00DE7843">
        <w:rPr>
          <w:rFonts w:ascii="Century Gothic" w:hAnsi="Century Gothic"/>
          <w:sz w:val="21"/>
          <w:szCs w:val="21"/>
        </w:rPr>
        <w:t xml:space="preserve">While the share of full-time workers was higher for </w:t>
      </w:r>
      <w:proofErr w:type="spellStart"/>
      <w:r w:rsidRPr="00DE7843">
        <w:rPr>
          <w:rFonts w:ascii="Century Gothic" w:hAnsi="Century Gothic"/>
          <w:sz w:val="21"/>
          <w:szCs w:val="21"/>
        </w:rPr>
        <w:t>Ngāi</w:t>
      </w:r>
      <w:proofErr w:type="spellEnd"/>
      <w:r w:rsidRPr="00DE7843">
        <w:rPr>
          <w:rFonts w:ascii="Century Gothic" w:hAnsi="Century Gothic"/>
          <w:sz w:val="21"/>
          <w:szCs w:val="21"/>
        </w:rPr>
        <w:t xml:space="preserve"> </w:t>
      </w:r>
      <w:proofErr w:type="spellStart"/>
      <w:r w:rsidRPr="00DE7843">
        <w:rPr>
          <w:rFonts w:ascii="Century Gothic" w:hAnsi="Century Gothic"/>
          <w:sz w:val="21"/>
          <w:szCs w:val="21"/>
        </w:rPr>
        <w:t>Tāmanuhiri</w:t>
      </w:r>
      <w:proofErr w:type="spellEnd"/>
      <w:r w:rsidRPr="00DE7843">
        <w:rPr>
          <w:rFonts w:ascii="Century Gothic" w:hAnsi="Century Gothic"/>
          <w:sz w:val="21"/>
          <w:szCs w:val="21"/>
        </w:rPr>
        <w:t xml:space="preserve"> than for Māori generally, those resident in </w:t>
      </w:r>
      <w:proofErr w:type="spellStart"/>
      <w:r w:rsidRPr="00DE7843">
        <w:rPr>
          <w:rFonts w:ascii="Century Gothic" w:hAnsi="Century Gothic"/>
          <w:sz w:val="21"/>
          <w:szCs w:val="21"/>
        </w:rPr>
        <w:t>Gisborne</w:t>
      </w:r>
      <w:proofErr w:type="spellEnd"/>
      <w:r w:rsidRPr="00DE7843">
        <w:rPr>
          <w:rFonts w:ascii="Century Gothic" w:hAnsi="Century Gothic"/>
          <w:sz w:val="21"/>
          <w:szCs w:val="21"/>
        </w:rPr>
        <w:t xml:space="preserve"> were less likely be in full-time work (75.3 per cent) than their </w:t>
      </w:r>
      <w:proofErr w:type="spellStart"/>
      <w:r w:rsidRPr="00DE7843">
        <w:rPr>
          <w:rFonts w:ascii="Century Gothic" w:hAnsi="Century Gothic"/>
          <w:sz w:val="21"/>
          <w:szCs w:val="21"/>
        </w:rPr>
        <w:t>whanaunga</w:t>
      </w:r>
      <w:proofErr w:type="spellEnd"/>
      <w:r w:rsidRPr="00DE7843">
        <w:rPr>
          <w:rFonts w:ascii="Century Gothic" w:hAnsi="Century Gothic"/>
          <w:sz w:val="21"/>
          <w:szCs w:val="21"/>
        </w:rPr>
        <w:t xml:space="preserve"> living outside the region (81.2 per cent).</w:t>
      </w:r>
    </w:p>
    <w:p w14:paraId="3979C96D" w14:textId="0E05B6AC" w:rsidR="00D144BC" w:rsidRDefault="00D144BC" w:rsidP="001B5D34">
      <w:pPr>
        <w:spacing w:after="0" w:line="360" w:lineRule="auto"/>
        <w:rPr>
          <w:rFonts w:ascii="Century Gothic" w:hAnsi="Century Gothic"/>
          <w:b/>
          <w:bCs/>
          <w:color w:val="44546A"/>
          <w:sz w:val="20"/>
          <w:szCs w:val="20"/>
        </w:rPr>
      </w:pPr>
    </w:p>
    <w:p w14:paraId="1DCB748D" w14:textId="7E574098" w:rsidR="00D144BC" w:rsidRPr="00DF212D" w:rsidRDefault="00D144BC" w:rsidP="006335DA">
      <w:pPr>
        <w:spacing w:after="0" w:line="276" w:lineRule="auto"/>
        <w:rPr>
          <w:rFonts w:ascii="Century Gothic" w:eastAsiaTheme="majorEastAsia" w:hAnsi="Century Gothic" w:cstheme="majorBidi"/>
          <w:b/>
          <w:bCs/>
          <w:color w:val="4EAFC6"/>
          <w:sz w:val="21"/>
          <w:szCs w:val="21"/>
          <w:lang w:eastAsia="en-US"/>
        </w:rPr>
      </w:pPr>
      <w:bookmarkStart w:id="46" w:name="_Toc491783083"/>
      <w:r w:rsidRPr="00DF212D">
        <w:rPr>
          <w:rFonts w:ascii="Century Gothic" w:hAnsi="Century Gothic"/>
          <w:b/>
          <w:bCs/>
          <w:color w:val="44546A"/>
          <w:sz w:val="20"/>
          <w:szCs w:val="20"/>
        </w:rPr>
        <w:t xml:space="preserve">Figure </w:t>
      </w:r>
      <w:r>
        <w:rPr>
          <w:rFonts w:ascii="Century Gothic" w:hAnsi="Century Gothic"/>
          <w:b/>
          <w:bCs/>
          <w:color w:val="44546A"/>
          <w:sz w:val="20"/>
          <w:szCs w:val="20"/>
        </w:rPr>
        <w:fldChar w:fldCharType="begin"/>
      </w:r>
      <w:r w:rsidRPr="00DF212D">
        <w:rPr>
          <w:rFonts w:ascii="Century Gothic" w:hAnsi="Century Gothic"/>
          <w:b/>
          <w:bCs/>
          <w:color w:val="44546A"/>
          <w:sz w:val="20"/>
          <w:szCs w:val="20"/>
        </w:rPr>
        <w:instrText xml:space="preserve"> STYLEREF 1 \s </w:instrText>
      </w:r>
      <w:r>
        <w:rPr>
          <w:rFonts w:ascii="Century Gothic" w:hAnsi="Century Gothic"/>
          <w:b/>
          <w:bCs/>
          <w:color w:val="44546A"/>
          <w:sz w:val="20"/>
          <w:szCs w:val="20"/>
        </w:rPr>
        <w:fldChar w:fldCharType="separate"/>
      </w:r>
      <w:r w:rsidR="001470A9">
        <w:rPr>
          <w:rFonts w:ascii="Century Gothic" w:hAnsi="Century Gothic" w:hint="cs"/>
          <w:b/>
          <w:bCs/>
          <w:noProof/>
          <w:color w:val="44546A"/>
          <w:sz w:val="20"/>
          <w:szCs w:val="20"/>
          <w:cs/>
        </w:rPr>
        <w:t>‎</w:t>
      </w:r>
      <w:r w:rsidR="001470A9">
        <w:rPr>
          <w:rFonts w:ascii="Century Gothic" w:hAnsi="Century Gothic"/>
          <w:b/>
          <w:bCs/>
          <w:noProof/>
          <w:color w:val="44546A"/>
          <w:sz w:val="20"/>
          <w:szCs w:val="20"/>
        </w:rPr>
        <w:t>4</w:t>
      </w:r>
      <w:r>
        <w:rPr>
          <w:rFonts w:ascii="Century Gothic" w:hAnsi="Century Gothic"/>
          <w:b/>
          <w:bCs/>
          <w:color w:val="44546A"/>
          <w:sz w:val="20"/>
          <w:szCs w:val="20"/>
        </w:rPr>
        <w:fldChar w:fldCharType="end"/>
      </w:r>
      <w:r w:rsidRPr="00DF212D">
        <w:rPr>
          <w:rFonts w:ascii="Century Gothic" w:hAnsi="Century Gothic"/>
          <w:b/>
          <w:bCs/>
          <w:color w:val="44546A"/>
          <w:sz w:val="20"/>
          <w:szCs w:val="20"/>
        </w:rPr>
        <w:t>.</w:t>
      </w:r>
      <w:r>
        <w:rPr>
          <w:rFonts w:ascii="Century Gothic" w:hAnsi="Century Gothic"/>
          <w:b/>
          <w:bCs/>
          <w:color w:val="44546A"/>
          <w:sz w:val="20"/>
          <w:szCs w:val="20"/>
        </w:rPr>
        <w:fldChar w:fldCharType="begin"/>
      </w:r>
      <w:r w:rsidRPr="00DF212D">
        <w:rPr>
          <w:rFonts w:ascii="Century Gothic" w:hAnsi="Century Gothic"/>
          <w:b/>
          <w:bCs/>
          <w:color w:val="44546A"/>
          <w:sz w:val="20"/>
          <w:szCs w:val="20"/>
        </w:rPr>
        <w:instrText xml:space="preserve"> SEQ Figure \* ARABIC \s 1 </w:instrText>
      </w:r>
      <w:r>
        <w:rPr>
          <w:rFonts w:ascii="Century Gothic" w:hAnsi="Century Gothic"/>
          <w:b/>
          <w:bCs/>
          <w:color w:val="44546A"/>
          <w:sz w:val="20"/>
          <w:szCs w:val="20"/>
        </w:rPr>
        <w:fldChar w:fldCharType="separate"/>
      </w:r>
      <w:r w:rsidR="001470A9">
        <w:rPr>
          <w:rFonts w:ascii="Century Gothic" w:hAnsi="Century Gothic"/>
          <w:b/>
          <w:bCs/>
          <w:noProof/>
          <w:color w:val="44546A"/>
          <w:sz w:val="20"/>
          <w:szCs w:val="20"/>
        </w:rPr>
        <w:t>6</w:t>
      </w:r>
      <w:r>
        <w:rPr>
          <w:rFonts w:ascii="Century Gothic" w:hAnsi="Century Gothic"/>
          <w:b/>
          <w:bCs/>
          <w:color w:val="44546A"/>
          <w:sz w:val="20"/>
          <w:szCs w:val="20"/>
        </w:rPr>
        <w:fldChar w:fldCharType="end"/>
      </w:r>
      <w:r w:rsidRPr="00DF212D">
        <w:rPr>
          <w:rFonts w:ascii="Century Gothic" w:hAnsi="Century Gothic"/>
          <w:b/>
          <w:bCs/>
          <w:color w:val="44546A"/>
          <w:sz w:val="20"/>
          <w:szCs w:val="20"/>
        </w:rPr>
        <w:t xml:space="preserve"> </w:t>
      </w:r>
      <w:r>
        <w:rPr>
          <w:rFonts w:ascii="Century Gothic" w:hAnsi="Century Gothic"/>
          <w:b/>
          <w:bCs/>
          <w:color w:val="44546A"/>
          <w:sz w:val="20"/>
          <w:szCs w:val="20"/>
        </w:rPr>
        <w:t xml:space="preserve">Employment status of </w:t>
      </w:r>
      <w:proofErr w:type="spellStart"/>
      <w:r w:rsidR="008B1B8A">
        <w:rPr>
          <w:rFonts w:ascii="Century Gothic" w:hAnsi="Century Gothic"/>
          <w:b/>
          <w:bCs/>
          <w:color w:val="44546A"/>
          <w:sz w:val="20"/>
          <w:szCs w:val="20"/>
        </w:rPr>
        <w:t>Ngāi</w:t>
      </w:r>
      <w:proofErr w:type="spellEnd"/>
      <w:r w:rsidRPr="00DF212D">
        <w:rPr>
          <w:rFonts w:ascii="Century Gothic" w:hAnsi="Century Gothic"/>
          <w:b/>
          <w:bCs/>
          <w:color w:val="44546A"/>
          <w:sz w:val="20"/>
          <w:szCs w:val="20"/>
        </w:rPr>
        <w:t xml:space="preserve"> </w:t>
      </w:r>
      <w:proofErr w:type="spellStart"/>
      <w:r w:rsidRPr="00DF212D">
        <w:rPr>
          <w:rFonts w:ascii="Century Gothic" w:hAnsi="Century Gothic"/>
          <w:b/>
          <w:bCs/>
          <w:color w:val="44546A"/>
          <w:sz w:val="20"/>
          <w:szCs w:val="20"/>
        </w:rPr>
        <w:t>Tāmanuhiri</w:t>
      </w:r>
      <w:proofErr w:type="spellEnd"/>
      <w:r w:rsidR="006335DA">
        <w:rPr>
          <w:rFonts w:ascii="Century Gothic" w:hAnsi="Century Gothic"/>
          <w:b/>
          <w:bCs/>
          <w:color w:val="44546A"/>
          <w:sz w:val="20"/>
          <w:szCs w:val="20"/>
        </w:rPr>
        <w:t xml:space="preserve"> </w:t>
      </w:r>
      <w:r>
        <w:rPr>
          <w:rFonts w:ascii="Century Gothic" w:hAnsi="Century Gothic"/>
          <w:b/>
          <w:bCs/>
          <w:color w:val="44546A"/>
          <w:sz w:val="20"/>
          <w:szCs w:val="20"/>
        </w:rPr>
        <w:t xml:space="preserve">and the </w:t>
      </w:r>
      <w:r w:rsidR="00744830">
        <w:rPr>
          <w:rFonts w:ascii="Century Gothic" w:hAnsi="Century Gothic"/>
          <w:b/>
          <w:bCs/>
          <w:color w:val="44546A"/>
          <w:sz w:val="20"/>
          <w:szCs w:val="20"/>
        </w:rPr>
        <w:t>Māori</w:t>
      </w:r>
      <w:r>
        <w:rPr>
          <w:rFonts w:ascii="Century Gothic" w:hAnsi="Century Gothic"/>
          <w:b/>
          <w:bCs/>
          <w:color w:val="44546A"/>
          <w:sz w:val="20"/>
          <w:szCs w:val="20"/>
        </w:rPr>
        <w:t xml:space="preserve"> descent population;</w:t>
      </w:r>
      <w:r w:rsidR="006335DA" w:rsidRPr="006335DA">
        <w:rPr>
          <w:rFonts w:ascii="Century Gothic" w:hAnsi="Century Gothic"/>
          <w:b/>
          <w:bCs/>
          <w:color w:val="44546A"/>
          <w:sz w:val="20"/>
          <w:szCs w:val="20"/>
        </w:rPr>
        <w:t xml:space="preserve"> </w:t>
      </w:r>
      <w:r w:rsidR="006335DA">
        <w:rPr>
          <w:rFonts w:ascii="Century Gothic" w:hAnsi="Century Gothic"/>
          <w:b/>
          <w:bCs/>
          <w:color w:val="44546A"/>
          <w:sz w:val="20"/>
          <w:szCs w:val="20"/>
        </w:rPr>
        <w:t>adults aged 15+ years;</w:t>
      </w:r>
      <w:r>
        <w:rPr>
          <w:rFonts w:ascii="Century Gothic" w:hAnsi="Century Gothic"/>
          <w:b/>
          <w:bCs/>
          <w:color w:val="44546A"/>
          <w:sz w:val="20"/>
          <w:szCs w:val="20"/>
        </w:rPr>
        <w:t xml:space="preserve"> Census 2013</w:t>
      </w:r>
      <w:bookmarkEnd w:id="46"/>
    </w:p>
    <w:p w14:paraId="4F7017DC" w14:textId="0C3D92B8" w:rsidR="00D144BC" w:rsidRDefault="001F07E8" w:rsidP="006001B0">
      <w:pPr>
        <w:spacing w:after="0" w:line="276" w:lineRule="auto"/>
        <w:rPr>
          <w:rFonts w:ascii="Century Gothic" w:hAnsi="Century Gothic"/>
          <w:b/>
          <w:bCs/>
          <w:color w:val="44546A"/>
          <w:sz w:val="20"/>
          <w:szCs w:val="20"/>
        </w:rPr>
      </w:pPr>
      <w:r w:rsidRPr="001F07E8">
        <w:rPr>
          <w:noProof/>
        </w:rPr>
        <w:drawing>
          <wp:anchor distT="0" distB="0" distL="114300" distR="114300" simplePos="0" relativeHeight="252335104" behindDoc="1" locked="0" layoutInCell="1" allowOverlap="1" wp14:anchorId="3E2349FD" wp14:editId="6FA66547">
            <wp:simplePos x="0" y="0"/>
            <wp:positionH relativeFrom="column">
              <wp:posOffset>-3096</wp:posOffset>
            </wp:positionH>
            <wp:positionV relativeFrom="paragraph">
              <wp:posOffset>115646</wp:posOffset>
            </wp:positionV>
            <wp:extent cx="5544000" cy="2304000"/>
            <wp:effectExtent l="0" t="0" r="0" b="1270"/>
            <wp:wrapTight wrapText="bothSides">
              <wp:wrapPolygon edited="0">
                <wp:start x="0" y="0"/>
                <wp:lineTo x="0" y="21433"/>
                <wp:lineTo x="21526" y="21433"/>
                <wp:lineTo x="21526"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44000" cy="230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ADB2B5" w14:textId="0BADB85F" w:rsidR="00D144BC" w:rsidRDefault="00D144BC" w:rsidP="006001B0">
      <w:pPr>
        <w:spacing w:after="0" w:line="276" w:lineRule="auto"/>
        <w:rPr>
          <w:rFonts w:ascii="Century Gothic" w:hAnsi="Century Gothic"/>
          <w:b/>
          <w:bCs/>
          <w:color w:val="44546A"/>
          <w:sz w:val="20"/>
          <w:szCs w:val="20"/>
        </w:rPr>
      </w:pPr>
    </w:p>
    <w:p w14:paraId="1B3F6367" w14:textId="006B7241" w:rsidR="00D144BC" w:rsidRDefault="00D144BC" w:rsidP="006001B0">
      <w:pPr>
        <w:spacing w:after="0" w:line="276" w:lineRule="auto"/>
        <w:rPr>
          <w:rFonts w:ascii="Century Gothic" w:hAnsi="Century Gothic"/>
          <w:b/>
          <w:bCs/>
          <w:color w:val="44546A"/>
          <w:sz w:val="20"/>
          <w:szCs w:val="20"/>
        </w:rPr>
      </w:pPr>
    </w:p>
    <w:p w14:paraId="768576AC" w14:textId="6DE391DD" w:rsidR="00D144BC" w:rsidRDefault="00D144BC" w:rsidP="006001B0">
      <w:pPr>
        <w:spacing w:after="0" w:line="276" w:lineRule="auto"/>
        <w:rPr>
          <w:rFonts w:ascii="Century Gothic" w:hAnsi="Century Gothic"/>
          <w:b/>
          <w:bCs/>
          <w:color w:val="44546A"/>
          <w:sz w:val="20"/>
          <w:szCs w:val="20"/>
        </w:rPr>
      </w:pPr>
    </w:p>
    <w:p w14:paraId="4B212411" w14:textId="61D02DC8" w:rsidR="00D144BC" w:rsidRDefault="00D144BC" w:rsidP="006001B0">
      <w:pPr>
        <w:spacing w:after="0" w:line="276" w:lineRule="auto"/>
        <w:rPr>
          <w:rFonts w:ascii="Century Gothic" w:hAnsi="Century Gothic"/>
          <w:b/>
          <w:bCs/>
          <w:color w:val="44546A"/>
          <w:sz w:val="20"/>
          <w:szCs w:val="20"/>
        </w:rPr>
      </w:pPr>
    </w:p>
    <w:p w14:paraId="0A793DEE" w14:textId="1BC633F1" w:rsidR="00D144BC" w:rsidRDefault="00D144BC" w:rsidP="006001B0">
      <w:pPr>
        <w:spacing w:after="0" w:line="276" w:lineRule="auto"/>
        <w:rPr>
          <w:rFonts w:ascii="Century Gothic" w:hAnsi="Century Gothic"/>
          <w:b/>
          <w:bCs/>
          <w:color w:val="44546A"/>
          <w:sz w:val="20"/>
          <w:szCs w:val="20"/>
        </w:rPr>
      </w:pPr>
    </w:p>
    <w:p w14:paraId="1DC3758D" w14:textId="3F29B69D" w:rsidR="00D144BC" w:rsidRDefault="00D144BC" w:rsidP="006001B0">
      <w:pPr>
        <w:spacing w:after="0" w:line="276" w:lineRule="auto"/>
        <w:rPr>
          <w:rFonts w:ascii="Century Gothic" w:hAnsi="Century Gothic"/>
          <w:b/>
          <w:bCs/>
          <w:color w:val="44546A"/>
          <w:sz w:val="20"/>
          <w:szCs w:val="20"/>
        </w:rPr>
      </w:pPr>
    </w:p>
    <w:p w14:paraId="3E4F8D90" w14:textId="434A5DE4" w:rsidR="00D144BC" w:rsidRDefault="00D144BC" w:rsidP="006001B0">
      <w:pPr>
        <w:spacing w:after="0" w:line="276" w:lineRule="auto"/>
        <w:rPr>
          <w:rFonts w:ascii="Century Gothic" w:hAnsi="Century Gothic"/>
          <w:b/>
          <w:bCs/>
          <w:color w:val="44546A"/>
          <w:sz w:val="20"/>
          <w:szCs w:val="20"/>
        </w:rPr>
      </w:pPr>
    </w:p>
    <w:p w14:paraId="1700DBAE" w14:textId="0ACC3D52" w:rsidR="00D144BC" w:rsidRDefault="00D144BC" w:rsidP="006001B0">
      <w:pPr>
        <w:spacing w:after="0" w:line="276" w:lineRule="auto"/>
        <w:rPr>
          <w:rFonts w:ascii="Century Gothic" w:hAnsi="Century Gothic"/>
          <w:b/>
          <w:bCs/>
          <w:color w:val="44546A"/>
          <w:sz w:val="20"/>
          <w:szCs w:val="20"/>
        </w:rPr>
      </w:pPr>
    </w:p>
    <w:p w14:paraId="58592870" w14:textId="02901EAC" w:rsidR="00D144BC" w:rsidRDefault="00D144BC" w:rsidP="006001B0">
      <w:pPr>
        <w:spacing w:after="0" w:line="276" w:lineRule="auto"/>
        <w:rPr>
          <w:rFonts w:ascii="Century Gothic" w:hAnsi="Century Gothic"/>
          <w:b/>
          <w:bCs/>
          <w:color w:val="44546A"/>
          <w:sz w:val="20"/>
          <w:szCs w:val="20"/>
        </w:rPr>
      </w:pPr>
    </w:p>
    <w:p w14:paraId="6DF55F5C" w14:textId="77777777" w:rsidR="00D144BC" w:rsidRDefault="00D144BC" w:rsidP="006001B0">
      <w:pPr>
        <w:spacing w:after="0" w:line="276" w:lineRule="auto"/>
        <w:rPr>
          <w:rFonts w:ascii="Century Gothic" w:hAnsi="Century Gothic"/>
          <w:b/>
          <w:bCs/>
          <w:color w:val="44546A"/>
          <w:sz w:val="20"/>
          <w:szCs w:val="20"/>
        </w:rPr>
      </w:pPr>
    </w:p>
    <w:p w14:paraId="5AC04F12" w14:textId="394FDCD2" w:rsidR="00D144BC" w:rsidRDefault="00D144BC" w:rsidP="006001B0">
      <w:pPr>
        <w:spacing w:after="0" w:line="276" w:lineRule="auto"/>
        <w:rPr>
          <w:rFonts w:ascii="Century Gothic" w:hAnsi="Century Gothic"/>
          <w:b/>
          <w:bCs/>
          <w:color w:val="44546A"/>
          <w:sz w:val="20"/>
          <w:szCs w:val="20"/>
        </w:rPr>
      </w:pPr>
    </w:p>
    <w:p w14:paraId="47D72A46" w14:textId="6D999DCC" w:rsidR="001F07E8" w:rsidRDefault="001F07E8" w:rsidP="006001B0">
      <w:pPr>
        <w:spacing w:after="0" w:line="276" w:lineRule="auto"/>
        <w:rPr>
          <w:rFonts w:ascii="Century Gothic" w:hAnsi="Century Gothic"/>
          <w:b/>
          <w:bCs/>
          <w:color w:val="44546A"/>
          <w:sz w:val="20"/>
          <w:szCs w:val="20"/>
        </w:rPr>
      </w:pPr>
    </w:p>
    <w:p w14:paraId="3947904C" w14:textId="6D3991C2" w:rsidR="001F07E8" w:rsidRDefault="001F07E8" w:rsidP="006001B0">
      <w:pPr>
        <w:spacing w:after="0" w:line="276" w:lineRule="auto"/>
        <w:rPr>
          <w:rFonts w:ascii="Century Gothic" w:hAnsi="Century Gothic"/>
          <w:b/>
          <w:bCs/>
          <w:color w:val="44546A"/>
          <w:sz w:val="20"/>
          <w:szCs w:val="20"/>
        </w:rPr>
      </w:pPr>
    </w:p>
    <w:p w14:paraId="54999E43" w14:textId="288E40DE" w:rsidR="001F07E8" w:rsidRDefault="001F07E8" w:rsidP="006001B0">
      <w:pPr>
        <w:spacing w:after="0" w:line="276" w:lineRule="auto"/>
        <w:rPr>
          <w:rFonts w:ascii="Century Gothic" w:hAnsi="Century Gothic"/>
          <w:b/>
          <w:bCs/>
          <w:color w:val="44546A"/>
          <w:sz w:val="20"/>
          <w:szCs w:val="20"/>
        </w:rPr>
      </w:pPr>
    </w:p>
    <w:p w14:paraId="0BCD70BB" w14:textId="25FA1CC1" w:rsidR="00D144BC" w:rsidRPr="00DE7843" w:rsidRDefault="00BE33F1" w:rsidP="004D7F3D">
      <w:pPr>
        <w:spacing w:after="0" w:line="360" w:lineRule="auto"/>
        <w:rPr>
          <w:rFonts w:ascii="Century Gothic" w:hAnsi="Century Gothic"/>
          <w:sz w:val="21"/>
          <w:szCs w:val="21"/>
        </w:rPr>
      </w:pPr>
      <w:r w:rsidRPr="00DE7843">
        <w:rPr>
          <w:rFonts w:ascii="Century Gothic" w:hAnsi="Century Gothic"/>
          <w:sz w:val="21"/>
          <w:szCs w:val="21"/>
        </w:rPr>
        <w:t xml:space="preserve">Finally, turning to </w:t>
      </w:r>
      <w:proofErr w:type="spellStart"/>
      <w:r w:rsidR="001B5D34">
        <w:rPr>
          <w:rFonts w:ascii="Century Gothic" w:hAnsi="Century Gothic"/>
          <w:sz w:val="21"/>
          <w:szCs w:val="21"/>
        </w:rPr>
        <w:t>t</w:t>
      </w:r>
      <w:r w:rsidR="000B60A9" w:rsidRPr="00DE7843">
        <w:rPr>
          <w:rFonts w:ascii="Century Gothic" w:hAnsi="Century Gothic"/>
          <w:sz w:val="21"/>
          <w:szCs w:val="21"/>
        </w:rPr>
        <w:t>e</w:t>
      </w:r>
      <w:proofErr w:type="spellEnd"/>
      <w:r w:rsidR="000B60A9" w:rsidRPr="00DE7843">
        <w:rPr>
          <w:rFonts w:ascii="Century Gothic" w:hAnsi="Century Gothic"/>
          <w:sz w:val="21"/>
          <w:szCs w:val="21"/>
        </w:rPr>
        <w:t xml:space="preserve"> reo Māori</w:t>
      </w:r>
      <w:r w:rsidRPr="00DE7843">
        <w:rPr>
          <w:rFonts w:ascii="Century Gothic" w:hAnsi="Century Gothic"/>
          <w:sz w:val="21"/>
          <w:szCs w:val="21"/>
        </w:rPr>
        <w:t xml:space="preserve"> speakers, Figure 4.6 shows that </w:t>
      </w:r>
      <w:r w:rsidR="00490F97" w:rsidRPr="00DE7843">
        <w:rPr>
          <w:rFonts w:ascii="Century Gothic" w:hAnsi="Century Gothic"/>
          <w:sz w:val="21"/>
          <w:szCs w:val="21"/>
        </w:rPr>
        <w:t xml:space="preserve">the percentage of employed </w:t>
      </w:r>
      <w:proofErr w:type="spellStart"/>
      <w:r w:rsidRPr="00DE7843">
        <w:rPr>
          <w:rFonts w:ascii="Century Gothic" w:hAnsi="Century Gothic"/>
          <w:sz w:val="21"/>
          <w:szCs w:val="21"/>
        </w:rPr>
        <w:t>Ngāi</w:t>
      </w:r>
      <w:proofErr w:type="spellEnd"/>
      <w:r w:rsidRPr="00DE7843">
        <w:rPr>
          <w:rFonts w:ascii="Century Gothic" w:hAnsi="Century Gothic"/>
          <w:sz w:val="21"/>
          <w:szCs w:val="21"/>
        </w:rPr>
        <w:t xml:space="preserve"> </w:t>
      </w:r>
      <w:proofErr w:type="spellStart"/>
      <w:r w:rsidRPr="00DE7843">
        <w:rPr>
          <w:rFonts w:ascii="Century Gothic" w:hAnsi="Century Gothic"/>
          <w:sz w:val="21"/>
          <w:szCs w:val="21"/>
        </w:rPr>
        <w:t>T</w:t>
      </w:r>
      <w:r w:rsidR="00490F97" w:rsidRPr="00DE7843">
        <w:rPr>
          <w:rFonts w:ascii="Century Gothic" w:hAnsi="Century Gothic"/>
          <w:sz w:val="21"/>
          <w:szCs w:val="21"/>
        </w:rPr>
        <w:t>āmanuhiri</w:t>
      </w:r>
      <w:proofErr w:type="spellEnd"/>
      <w:r w:rsidR="00490F97" w:rsidRPr="00DE7843">
        <w:rPr>
          <w:rFonts w:ascii="Century Gothic" w:hAnsi="Century Gothic"/>
          <w:sz w:val="21"/>
          <w:szCs w:val="21"/>
        </w:rPr>
        <w:t xml:space="preserve"> </w:t>
      </w:r>
      <w:proofErr w:type="spellStart"/>
      <w:r w:rsidR="004D7F3D">
        <w:rPr>
          <w:rFonts w:ascii="Century Gothic" w:hAnsi="Century Gothic"/>
          <w:sz w:val="21"/>
          <w:szCs w:val="21"/>
        </w:rPr>
        <w:t>t</w:t>
      </w:r>
      <w:r w:rsidR="000B60A9" w:rsidRPr="00DE7843">
        <w:rPr>
          <w:rFonts w:ascii="Century Gothic" w:hAnsi="Century Gothic"/>
          <w:sz w:val="21"/>
          <w:szCs w:val="21"/>
        </w:rPr>
        <w:t>e</w:t>
      </w:r>
      <w:proofErr w:type="spellEnd"/>
      <w:r w:rsidR="000B60A9" w:rsidRPr="00DE7843">
        <w:rPr>
          <w:rFonts w:ascii="Century Gothic" w:hAnsi="Century Gothic"/>
          <w:sz w:val="21"/>
          <w:szCs w:val="21"/>
        </w:rPr>
        <w:t xml:space="preserve"> reo Māori</w:t>
      </w:r>
      <w:r w:rsidR="00490F97" w:rsidRPr="00DE7843">
        <w:rPr>
          <w:rFonts w:ascii="Century Gothic" w:hAnsi="Century Gothic"/>
          <w:sz w:val="21"/>
          <w:szCs w:val="21"/>
        </w:rPr>
        <w:t xml:space="preserve"> speakers working full-time was slightly higher than the iwi average (81.1 </w:t>
      </w:r>
      <w:r w:rsidR="00490F97" w:rsidRPr="00DE7843">
        <w:rPr>
          <w:rFonts w:ascii="Century Gothic" w:hAnsi="Century Gothic"/>
          <w:sz w:val="21"/>
          <w:szCs w:val="21"/>
        </w:rPr>
        <w:lastRenderedPageBreak/>
        <w:t xml:space="preserve">cf. 79 per cent), and considerably higher than the share of all </w:t>
      </w:r>
      <w:r w:rsidR="002A07ED" w:rsidRPr="00DE7843">
        <w:rPr>
          <w:rFonts w:ascii="Century Gothic" w:hAnsi="Century Gothic"/>
          <w:sz w:val="21"/>
          <w:szCs w:val="21"/>
        </w:rPr>
        <w:t xml:space="preserve">employed </w:t>
      </w:r>
      <w:proofErr w:type="spellStart"/>
      <w:r w:rsidR="004D7F3D">
        <w:rPr>
          <w:rFonts w:ascii="Century Gothic" w:hAnsi="Century Gothic"/>
          <w:sz w:val="21"/>
          <w:szCs w:val="21"/>
        </w:rPr>
        <w:t>t</w:t>
      </w:r>
      <w:r w:rsidR="000B60A9" w:rsidRPr="00DE7843">
        <w:rPr>
          <w:rFonts w:ascii="Century Gothic" w:hAnsi="Century Gothic"/>
          <w:sz w:val="21"/>
          <w:szCs w:val="21"/>
        </w:rPr>
        <w:t>e</w:t>
      </w:r>
      <w:proofErr w:type="spellEnd"/>
      <w:r w:rsidR="000B60A9" w:rsidRPr="00DE7843">
        <w:rPr>
          <w:rFonts w:ascii="Century Gothic" w:hAnsi="Century Gothic"/>
          <w:sz w:val="21"/>
          <w:szCs w:val="21"/>
        </w:rPr>
        <w:t xml:space="preserve"> reo Māori</w:t>
      </w:r>
      <w:r w:rsidR="002A07ED" w:rsidRPr="00DE7843">
        <w:rPr>
          <w:rFonts w:ascii="Century Gothic" w:hAnsi="Century Gothic"/>
          <w:sz w:val="21"/>
          <w:szCs w:val="21"/>
        </w:rPr>
        <w:t xml:space="preserve"> speakers working full-time (77 per cent)</w:t>
      </w:r>
      <w:r w:rsidR="00490F97" w:rsidRPr="00DE7843">
        <w:rPr>
          <w:rFonts w:ascii="Century Gothic" w:hAnsi="Century Gothic"/>
          <w:sz w:val="21"/>
          <w:szCs w:val="21"/>
        </w:rPr>
        <w:t xml:space="preserve">.  </w:t>
      </w:r>
    </w:p>
    <w:p w14:paraId="2D0A03D7" w14:textId="3D352106" w:rsidR="000D43F0" w:rsidRDefault="000D43F0" w:rsidP="006001B0">
      <w:pPr>
        <w:spacing w:after="0" w:line="276" w:lineRule="auto"/>
        <w:rPr>
          <w:rFonts w:ascii="Century Gothic" w:hAnsi="Century Gothic"/>
          <w:b/>
          <w:bCs/>
          <w:color w:val="44546A"/>
          <w:sz w:val="20"/>
          <w:szCs w:val="20"/>
        </w:rPr>
      </w:pPr>
    </w:p>
    <w:p w14:paraId="4ACC538D" w14:textId="1E571459" w:rsidR="000D43F0" w:rsidRDefault="000D43F0" w:rsidP="004D7F3D">
      <w:pPr>
        <w:spacing w:after="0" w:line="276" w:lineRule="auto"/>
        <w:rPr>
          <w:rFonts w:ascii="Century Gothic" w:hAnsi="Century Gothic"/>
          <w:b/>
          <w:bCs/>
          <w:color w:val="44546A"/>
          <w:sz w:val="20"/>
          <w:szCs w:val="20"/>
        </w:rPr>
      </w:pPr>
      <w:bookmarkStart w:id="47" w:name="_Toc491783084"/>
      <w:r w:rsidRPr="00DF212D">
        <w:rPr>
          <w:rFonts w:ascii="Century Gothic" w:hAnsi="Century Gothic"/>
          <w:b/>
          <w:bCs/>
          <w:color w:val="44546A"/>
          <w:sz w:val="20"/>
          <w:szCs w:val="20"/>
        </w:rPr>
        <w:t xml:space="preserve">Figure </w:t>
      </w:r>
      <w:r>
        <w:rPr>
          <w:rFonts w:ascii="Century Gothic" w:hAnsi="Century Gothic"/>
          <w:b/>
          <w:bCs/>
          <w:color w:val="44546A"/>
          <w:sz w:val="20"/>
          <w:szCs w:val="20"/>
        </w:rPr>
        <w:fldChar w:fldCharType="begin"/>
      </w:r>
      <w:r w:rsidRPr="00DF212D">
        <w:rPr>
          <w:rFonts w:ascii="Century Gothic" w:hAnsi="Century Gothic"/>
          <w:b/>
          <w:bCs/>
          <w:color w:val="44546A"/>
          <w:sz w:val="20"/>
          <w:szCs w:val="20"/>
        </w:rPr>
        <w:instrText xml:space="preserve"> STYLEREF 1 \s </w:instrText>
      </w:r>
      <w:r>
        <w:rPr>
          <w:rFonts w:ascii="Century Gothic" w:hAnsi="Century Gothic"/>
          <w:b/>
          <w:bCs/>
          <w:color w:val="44546A"/>
          <w:sz w:val="20"/>
          <w:szCs w:val="20"/>
        </w:rPr>
        <w:fldChar w:fldCharType="separate"/>
      </w:r>
      <w:r w:rsidR="001470A9">
        <w:rPr>
          <w:rFonts w:ascii="Century Gothic" w:hAnsi="Century Gothic" w:hint="cs"/>
          <w:b/>
          <w:bCs/>
          <w:noProof/>
          <w:color w:val="44546A"/>
          <w:sz w:val="20"/>
          <w:szCs w:val="20"/>
          <w:cs/>
        </w:rPr>
        <w:t>‎</w:t>
      </w:r>
      <w:r w:rsidR="001470A9">
        <w:rPr>
          <w:rFonts w:ascii="Century Gothic" w:hAnsi="Century Gothic"/>
          <w:b/>
          <w:bCs/>
          <w:noProof/>
          <w:color w:val="44546A"/>
          <w:sz w:val="20"/>
          <w:szCs w:val="20"/>
        </w:rPr>
        <w:t>4</w:t>
      </w:r>
      <w:r>
        <w:rPr>
          <w:rFonts w:ascii="Century Gothic" w:hAnsi="Century Gothic"/>
          <w:b/>
          <w:bCs/>
          <w:color w:val="44546A"/>
          <w:sz w:val="20"/>
          <w:szCs w:val="20"/>
        </w:rPr>
        <w:fldChar w:fldCharType="end"/>
      </w:r>
      <w:r w:rsidRPr="00DF212D">
        <w:rPr>
          <w:rFonts w:ascii="Century Gothic" w:hAnsi="Century Gothic"/>
          <w:b/>
          <w:bCs/>
          <w:color w:val="44546A"/>
          <w:sz w:val="20"/>
          <w:szCs w:val="20"/>
        </w:rPr>
        <w:t>.</w:t>
      </w:r>
      <w:r>
        <w:rPr>
          <w:rFonts w:ascii="Century Gothic" w:hAnsi="Century Gothic"/>
          <w:b/>
          <w:bCs/>
          <w:color w:val="44546A"/>
          <w:sz w:val="20"/>
          <w:szCs w:val="20"/>
        </w:rPr>
        <w:fldChar w:fldCharType="begin"/>
      </w:r>
      <w:r w:rsidRPr="00DF212D">
        <w:rPr>
          <w:rFonts w:ascii="Century Gothic" w:hAnsi="Century Gothic"/>
          <w:b/>
          <w:bCs/>
          <w:color w:val="44546A"/>
          <w:sz w:val="20"/>
          <w:szCs w:val="20"/>
        </w:rPr>
        <w:instrText xml:space="preserve"> SEQ Figure \* ARABIC \s 1 </w:instrText>
      </w:r>
      <w:r>
        <w:rPr>
          <w:rFonts w:ascii="Century Gothic" w:hAnsi="Century Gothic"/>
          <w:b/>
          <w:bCs/>
          <w:color w:val="44546A"/>
          <w:sz w:val="20"/>
          <w:szCs w:val="20"/>
        </w:rPr>
        <w:fldChar w:fldCharType="separate"/>
      </w:r>
      <w:r w:rsidR="001470A9">
        <w:rPr>
          <w:rFonts w:ascii="Century Gothic" w:hAnsi="Century Gothic"/>
          <w:b/>
          <w:bCs/>
          <w:noProof/>
          <w:color w:val="44546A"/>
          <w:sz w:val="20"/>
          <w:szCs w:val="20"/>
        </w:rPr>
        <w:t>7</w:t>
      </w:r>
      <w:r>
        <w:rPr>
          <w:rFonts w:ascii="Century Gothic" w:hAnsi="Century Gothic"/>
          <w:b/>
          <w:bCs/>
          <w:color w:val="44546A"/>
          <w:sz w:val="20"/>
          <w:szCs w:val="20"/>
        </w:rPr>
        <w:fldChar w:fldCharType="end"/>
      </w:r>
      <w:r w:rsidRPr="00DF212D">
        <w:rPr>
          <w:rFonts w:ascii="Century Gothic" w:hAnsi="Century Gothic"/>
          <w:b/>
          <w:bCs/>
          <w:color w:val="44546A"/>
          <w:sz w:val="20"/>
          <w:szCs w:val="20"/>
        </w:rPr>
        <w:t xml:space="preserve"> </w:t>
      </w:r>
      <w:r>
        <w:rPr>
          <w:rFonts w:ascii="Century Gothic" w:hAnsi="Century Gothic"/>
          <w:b/>
          <w:bCs/>
          <w:color w:val="44546A"/>
          <w:sz w:val="20"/>
          <w:szCs w:val="20"/>
        </w:rPr>
        <w:t xml:space="preserve">Employment status of </w:t>
      </w:r>
      <w:proofErr w:type="spellStart"/>
      <w:r w:rsidR="004D7F3D">
        <w:rPr>
          <w:rFonts w:ascii="Century Gothic" w:hAnsi="Century Gothic"/>
          <w:b/>
          <w:bCs/>
          <w:color w:val="44546A"/>
          <w:sz w:val="20"/>
          <w:szCs w:val="20"/>
        </w:rPr>
        <w:t>t</w:t>
      </w:r>
      <w:r w:rsidR="000B60A9">
        <w:rPr>
          <w:rFonts w:ascii="Century Gothic" w:hAnsi="Century Gothic"/>
          <w:b/>
          <w:bCs/>
          <w:color w:val="44546A"/>
          <w:sz w:val="20"/>
          <w:szCs w:val="20"/>
        </w:rPr>
        <w:t>e</w:t>
      </w:r>
      <w:proofErr w:type="spellEnd"/>
      <w:r w:rsidR="000B60A9">
        <w:rPr>
          <w:rFonts w:ascii="Century Gothic" w:hAnsi="Century Gothic"/>
          <w:b/>
          <w:bCs/>
          <w:color w:val="44546A"/>
          <w:sz w:val="20"/>
          <w:szCs w:val="20"/>
        </w:rPr>
        <w:t xml:space="preserve"> reo Māori</w:t>
      </w:r>
      <w:r w:rsidR="006335DA">
        <w:rPr>
          <w:rFonts w:ascii="Century Gothic" w:hAnsi="Century Gothic"/>
          <w:b/>
          <w:bCs/>
          <w:color w:val="44546A"/>
          <w:sz w:val="20"/>
          <w:szCs w:val="20"/>
        </w:rPr>
        <w:t xml:space="preserve"> speakers</w:t>
      </w:r>
      <w:r>
        <w:rPr>
          <w:rFonts w:ascii="Century Gothic" w:hAnsi="Century Gothic"/>
          <w:b/>
          <w:bCs/>
          <w:color w:val="44546A"/>
          <w:sz w:val="20"/>
          <w:szCs w:val="20"/>
        </w:rPr>
        <w:t xml:space="preserve">; </w:t>
      </w:r>
      <w:proofErr w:type="spellStart"/>
      <w:r w:rsidR="008B1B8A">
        <w:rPr>
          <w:rFonts w:ascii="Century Gothic" w:hAnsi="Century Gothic"/>
          <w:b/>
          <w:bCs/>
          <w:color w:val="44546A"/>
          <w:sz w:val="20"/>
          <w:szCs w:val="20"/>
        </w:rPr>
        <w:t>Ngāi</w:t>
      </w:r>
      <w:proofErr w:type="spellEnd"/>
      <w:r w:rsidRPr="00DF212D">
        <w:rPr>
          <w:rFonts w:ascii="Century Gothic" w:hAnsi="Century Gothic"/>
          <w:b/>
          <w:bCs/>
          <w:color w:val="44546A"/>
          <w:sz w:val="20"/>
          <w:szCs w:val="20"/>
        </w:rPr>
        <w:t xml:space="preserve"> </w:t>
      </w:r>
      <w:proofErr w:type="spellStart"/>
      <w:r w:rsidRPr="00DF212D">
        <w:rPr>
          <w:rFonts w:ascii="Century Gothic" w:hAnsi="Century Gothic"/>
          <w:b/>
          <w:bCs/>
          <w:color w:val="44546A"/>
          <w:sz w:val="20"/>
          <w:szCs w:val="20"/>
        </w:rPr>
        <w:t>Tāmanuhiri</w:t>
      </w:r>
      <w:proofErr w:type="spellEnd"/>
      <w:r>
        <w:rPr>
          <w:rFonts w:ascii="Century Gothic" w:hAnsi="Century Gothic"/>
          <w:b/>
          <w:bCs/>
          <w:color w:val="44546A"/>
          <w:sz w:val="20"/>
          <w:szCs w:val="20"/>
        </w:rPr>
        <w:t xml:space="preserve"> iwi and the Māori descent population; </w:t>
      </w:r>
      <w:r w:rsidR="006335DA">
        <w:rPr>
          <w:rFonts w:ascii="Century Gothic" w:hAnsi="Century Gothic"/>
          <w:b/>
          <w:bCs/>
          <w:color w:val="44546A"/>
          <w:sz w:val="20"/>
          <w:szCs w:val="20"/>
        </w:rPr>
        <w:t xml:space="preserve">adults aged 15+ </w:t>
      </w:r>
      <w:proofErr w:type="gramStart"/>
      <w:r w:rsidR="006335DA">
        <w:rPr>
          <w:rFonts w:ascii="Century Gothic" w:hAnsi="Century Gothic"/>
          <w:b/>
          <w:bCs/>
          <w:color w:val="44546A"/>
          <w:sz w:val="20"/>
          <w:szCs w:val="20"/>
        </w:rPr>
        <w:t>years ;</w:t>
      </w:r>
      <w:proofErr w:type="gramEnd"/>
      <w:r w:rsidR="006335DA">
        <w:rPr>
          <w:rFonts w:ascii="Century Gothic" w:hAnsi="Century Gothic"/>
          <w:b/>
          <w:bCs/>
          <w:color w:val="44546A"/>
          <w:sz w:val="20"/>
          <w:szCs w:val="20"/>
        </w:rPr>
        <w:t xml:space="preserve"> </w:t>
      </w:r>
      <w:r>
        <w:rPr>
          <w:rFonts w:ascii="Century Gothic" w:hAnsi="Century Gothic"/>
          <w:b/>
          <w:bCs/>
          <w:color w:val="44546A"/>
          <w:sz w:val="20"/>
          <w:szCs w:val="20"/>
        </w:rPr>
        <w:t>Census 2013</w:t>
      </w:r>
      <w:bookmarkEnd w:id="47"/>
    </w:p>
    <w:p w14:paraId="3341C641" w14:textId="45C46F4C" w:rsidR="000D43F0" w:rsidRPr="00DF212D" w:rsidRDefault="005B6F7C" w:rsidP="000D43F0">
      <w:pPr>
        <w:spacing w:after="0" w:line="276" w:lineRule="auto"/>
        <w:rPr>
          <w:rFonts w:ascii="Century Gothic" w:eastAsiaTheme="majorEastAsia" w:hAnsi="Century Gothic" w:cstheme="majorBidi"/>
          <w:b/>
          <w:bCs/>
          <w:color w:val="4EAFC6"/>
          <w:sz w:val="21"/>
          <w:szCs w:val="21"/>
          <w:lang w:eastAsia="en-US"/>
        </w:rPr>
      </w:pPr>
      <w:r w:rsidRPr="005B6F7C">
        <w:rPr>
          <w:noProof/>
        </w:rPr>
        <w:drawing>
          <wp:anchor distT="0" distB="0" distL="114300" distR="114300" simplePos="0" relativeHeight="252359680" behindDoc="1" locked="0" layoutInCell="1" allowOverlap="1" wp14:anchorId="027FCB86" wp14:editId="3D1DB0FF">
            <wp:simplePos x="0" y="0"/>
            <wp:positionH relativeFrom="column">
              <wp:posOffset>3799</wp:posOffset>
            </wp:positionH>
            <wp:positionV relativeFrom="paragraph">
              <wp:posOffset>75371</wp:posOffset>
            </wp:positionV>
            <wp:extent cx="4798800" cy="2041200"/>
            <wp:effectExtent l="0" t="0" r="1905" b="0"/>
            <wp:wrapTight wrapText="bothSides">
              <wp:wrapPolygon edited="0">
                <wp:start x="0" y="0"/>
                <wp:lineTo x="0" y="21371"/>
                <wp:lineTo x="21523" y="21371"/>
                <wp:lineTo x="2152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98800" cy="204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40B24E" w14:textId="4098ECE2" w:rsidR="000D43F0" w:rsidRDefault="000D43F0" w:rsidP="006001B0">
      <w:pPr>
        <w:spacing w:after="0" w:line="276" w:lineRule="auto"/>
        <w:rPr>
          <w:rFonts w:ascii="Century Gothic" w:hAnsi="Century Gothic"/>
          <w:b/>
          <w:bCs/>
          <w:color w:val="44546A"/>
          <w:sz w:val="20"/>
          <w:szCs w:val="20"/>
        </w:rPr>
      </w:pPr>
    </w:p>
    <w:p w14:paraId="38E1AD17" w14:textId="1D198AA5" w:rsidR="000D43F0" w:rsidRDefault="000D43F0" w:rsidP="006001B0">
      <w:pPr>
        <w:spacing w:after="0" w:line="276" w:lineRule="auto"/>
        <w:rPr>
          <w:rFonts w:ascii="Century Gothic" w:hAnsi="Century Gothic"/>
          <w:b/>
          <w:bCs/>
          <w:color w:val="44546A"/>
          <w:sz w:val="20"/>
          <w:szCs w:val="20"/>
        </w:rPr>
      </w:pPr>
    </w:p>
    <w:p w14:paraId="77E8A897" w14:textId="3BC9BCC7" w:rsidR="000D43F0" w:rsidRDefault="000D43F0" w:rsidP="006001B0">
      <w:pPr>
        <w:spacing w:after="0" w:line="276" w:lineRule="auto"/>
        <w:rPr>
          <w:rFonts w:ascii="Century Gothic" w:hAnsi="Century Gothic"/>
          <w:b/>
          <w:bCs/>
          <w:color w:val="44546A"/>
          <w:sz w:val="20"/>
          <w:szCs w:val="20"/>
        </w:rPr>
      </w:pPr>
    </w:p>
    <w:p w14:paraId="455BDFA1" w14:textId="7D860E55" w:rsidR="000D43F0" w:rsidRDefault="000D43F0" w:rsidP="006001B0">
      <w:pPr>
        <w:spacing w:after="0" w:line="276" w:lineRule="auto"/>
        <w:rPr>
          <w:rFonts w:ascii="Century Gothic" w:hAnsi="Century Gothic"/>
          <w:b/>
          <w:bCs/>
          <w:color w:val="44546A"/>
          <w:sz w:val="20"/>
          <w:szCs w:val="20"/>
        </w:rPr>
      </w:pPr>
    </w:p>
    <w:p w14:paraId="1AE0DF99" w14:textId="2CEBEBFE" w:rsidR="000D43F0" w:rsidRDefault="000D43F0" w:rsidP="006001B0">
      <w:pPr>
        <w:spacing w:after="0" w:line="276" w:lineRule="auto"/>
        <w:rPr>
          <w:rFonts w:ascii="Century Gothic" w:hAnsi="Century Gothic"/>
          <w:b/>
          <w:bCs/>
          <w:color w:val="44546A"/>
          <w:sz w:val="20"/>
          <w:szCs w:val="20"/>
        </w:rPr>
      </w:pPr>
    </w:p>
    <w:p w14:paraId="71C93E9F" w14:textId="7EA32351" w:rsidR="000D43F0" w:rsidRDefault="000D43F0" w:rsidP="006001B0">
      <w:pPr>
        <w:spacing w:after="0" w:line="276" w:lineRule="auto"/>
        <w:rPr>
          <w:rFonts w:ascii="Century Gothic" w:hAnsi="Century Gothic"/>
          <w:b/>
          <w:bCs/>
          <w:color w:val="44546A"/>
          <w:sz w:val="20"/>
          <w:szCs w:val="20"/>
        </w:rPr>
      </w:pPr>
    </w:p>
    <w:p w14:paraId="538EDC6D" w14:textId="661E8F07" w:rsidR="000D43F0" w:rsidRDefault="000D43F0" w:rsidP="006001B0">
      <w:pPr>
        <w:spacing w:after="0" w:line="276" w:lineRule="auto"/>
        <w:rPr>
          <w:rFonts w:ascii="Century Gothic" w:hAnsi="Century Gothic"/>
          <w:b/>
          <w:bCs/>
          <w:color w:val="44546A"/>
          <w:sz w:val="20"/>
          <w:szCs w:val="20"/>
        </w:rPr>
      </w:pPr>
    </w:p>
    <w:p w14:paraId="3D61E0F3" w14:textId="0A738528" w:rsidR="000D43F0" w:rsidRDefault="000D43F0" w:rsidP="006001B0">
      <w:pPr>
        <w:spacing w:after="0" w:line="276" w:lineRule="auto"/>
        <w:rPr>
          <w:rFonts w:ascii="Century Gothic" w:hAnsi="Century Gothic"/>
          <w:b/>
          <w:bCs/>
          <w:color w:val="44546A"/>
          <w:sz w:val="20"/>
          <w:szCs w:val="20"/>
        </w:rPr>
      </w:pPr>
    </w:p>
    <w:p w14:paraId="0CC81837" w14:textId="736C9A39" w:rsidR="000D43F0" w:rsidRDefault="000D43F0" w:rsidP="006001B0">
      <w:pPr>
        <w:spacing w:after="0" w:line="276" w:lineRule="auto"/>
        <w:rPr>
          <w:rFonts w:ascii="Century Gothic" w:hAnsi="Century Gothic"/>
          <w:b/>
          <w:bCs/>
          <w:color w:val="44546A"/>
          <w:sz w:val="20"/>
          <w:szCs w:val="20"/>
        </w:rPr>
      </w:pPr>
    </w:p>
    <w:p w14:paraId="286561B6" w14:textId="34D9AE2D" w:rsidR="000D43F0" w:rsidRDefault="000D43F0" w:rsidP="006001B0">
      <w:pPr>
        <w:spacing w:after="0" w:line="276" w:lineRule="auto"/>
        <w:rPr>
          <w:rFonts w:ascii="Century Gothic" w:hAnsi="Century Gothic"/>
          <w:b/>
          <w:bCs/>
          <w:color w:val="44546A"/>
          <w:sz w:val="20"/>
          <w:szCs w:val="20"/>
        </w:rPr>
      </w:pPr>
    </w:p>
    <w:p w14:paraId="1DFBB5EA" w14:textId="3D3E457E" w:rsidR="000D43F0" w:rsidRDefault="000D43F0" w:rsidP="006001B0">
      <w:pPr>
        <w:spacing w:after="0" w:line="276" w:lineRule="auto"/>
        <w:rPr>
          <w:rFonts w:ascii="Century Gothic" w:hAnsi="Century Gothic"/>
          <w:b/>
          <w:bCs/>
          <w:color w:val="44546A"/>
          <w:sz w:val="20"/>
          <w:szCs w:val="20"/>
        </w:rPr>
      </w:pPr>
    </w:p>
    <w:p w14:paraId="18FCD6CE" w14:textId="68FC5829" w:rsidR="000D43F0" w:rsidRDefault="000D43F0" w:rsidP="006001B0">
      <w:pPr>
        <w:spacing w:after="0" w:line="276" w:lineRule="auto"/>
        <w:rPr>
          <w:rFonts w:ascii="Century Gothic" w:hAnsi="Century Gothic"/>
          <w:b/>
          <w:bCs/>
          <w:color w:val="44546A"/>
          <w:sz w:val="20"/>
          <w:szCs w:val="20"/>
        </w:rPr>
      </w:pPr>
    </w:p>
    <w:p w14:paraId="33CF1A67" w14:textId="0F703BB7" w:rsidR="000D43F0" w:rsidRDefault="000D43F0" w:rsidP="006001B0">
      <w:pPr>
        <w:spacing w:after="0" w:line="276" w:lineRule="auto"/>
        <w:rPr>
          <w:rFonts w:ascii="Century Gothic" w:hAnsi="Century Gothic"/>
          <w:b/>
          <w:bCs/>
          <w:color w:val="44546A"/>
          <w:sz w:val="20"/>
          <w:szCs w:val="20"/>
        </w:rPr>
      </w:pPr>
    </w:p>
    <w:p w14:paraId="05CCF1DD" w14:textId="77777777" w:rsidR="0065189F" w:rsidRDefault="0065189F" w:rsidP="006001B0">
      <w:pPr>
        <w:spacing w:after="0" w:line="276" w:lineRule="auto"/>
        <w:rPr>
          <w:rFonts w:ascii="Century Gothic" w:hAnsi="Century Gothic"/>
          <w:b/>
          <w:bCs/>
          <w:color w:val="44546A"/>
          <w:sz w:val="20"/>
          <w:szCs w:val="20"/>
        </w:rPr>
      </w:pPr>
    </w:p>
    <w:p w14:paraId="22674E34" w14:textId="77777777" w:rsidR="0065189F" w:rsidRDefault="0065189F" w:rsidP="006001B0">
      <w:pPr>
        <w:spacing w:after="0" w:line="276" w:lineRule="auto"/>
        <w:rPr>
          <w:rFonts w:ascii="Century Gothic" w:hAnsi="Century Gothic"/>
          <w:b/>
          <w:bCs/>
          <w:color w:val="44546A"/>
          <w:sz w:val="20"/>
          <w:szCs w:val="20"/>
        </w:rPr>
      </w:pPr>
    </w:p>
    <w:p w14:paraId="702FED17" w14:textId="77777777" w:rsidR="0065189F" w:rsidRDefault="0065189F" w:rsidP="006001B0">
      <w:pPr>
        <w:spacing w:after="0" w:line="276" w:lineRule="auto"/>
        <w:rPr>
          <w:rFonts w:ascii="Century Gothic" w:hAnsi="Century Gothic"/>
          <w:b/>
          <w:bCs/>
          <w:color w:val="44546A"/>
          <w:sz w:val="20"/>
          <w:szCs w:val="20"/>
        </w:rPr>
      </w:pPr>
    </w:p>
    <w:p w14:paraId="79A78124" w14:textId="77777777" w:rsidR="0065189F" w:rsidRDefault="0065189F" w:rsidP="006001B0">
      <w:pPr>
        <w:spacing w:after="0" w:line="276" w:lineRule="auto"/>
        <w:rPr>
          <w:rFonts w:ascii="Century Gothic" w:hAnsi="Century Gothic"/>
          <w:b/>
          <w:bCs/>
          <w:color w:val="44546A"/>
          <w:sz w:val="20"/>
          <w:szCs w:val="20"/>
        </w:rPr>
      </w:pPr>
    </w:p>
    <w:p w14:paraId="2A123099" w14:textId="77777777" w:rsidR="0065189F" w:rsidRDefault="0065189F" w:rsidP="006001B0">
      <w:pPr>
        <w:spacing w:after="0" w:line="276" w:lineRule="auto"/>
        <w:rPr>
          <w:rFonts w:ascii="Century Gothic" w:hAnsi="Century Gothic"/>
          <w:b/>
          <w:bCs/>
          <w:color w:val="44546A"/>
          <w:sz w:val="20"/>
          <w:szCs w:val="20"/>
        </w:rPr>
      </w:pPr>
    </w:p>
    <w:p w14:paraId="16DF346D" w14:textId="77777777" w:rsidR="0065189F" w:rsidRDefault="0065189F" w:rsidP="006001B0">
      <w:pPr>
        <w:spacing w:after="0" w:line="276" w:lineRule="auto"/>
        <w:rPr>
          <w:rFonts w:ascii="Century Gothic" w:hAnsi="Century Gothic"/>
          <w:b/>
          <w:bCs/>
          <w:color w:val="44546A"/>
          <w:sz w:val="20"/>
          <w:szCs w:val="20"/>
        </w:rPr>
      </w:pPr>
    </w:p>
    <w:p w14:paraId="0BEB0115" w14:textId="77777777" w:rsidR="0065189F" w:rsidRDefault="0065189F" w:rsidP="006001B0">
      <w:pPr>
        <w:spacing w:after="0" w:line="276" w:lineRule="auto"/>
        <w:rPr>
          <w:rFonts w:ascii="Century Gothic" w:hAnsi="Century Gothic"/>
          <w:b/>
          <w:bCs/>
          <w:color w:val="44546A"/>
          <w:sz w:val="20"/>
          <w:szCs w:val="20"/>
        </w:rPr>
      </w:pPr>
    </w:p>
    <w:p w14:paraId="5195410B" w14:textId="77777777" w:rsidR="0065189F" w:rsidRDefault="0065189F" w:rsidP="006001B0">
      <w:pPr>
        <w:spacing w:after="0" w:line="276" w:lineRule="auto"/>
        <w:rPr>
          <w:rFonts w:ascii="Century Gothic" w:hAnsi="Century Gothic"/>
          <w:b/>
          <w:bCs/>
          <w:color w:val="44546A"/>
          <w:sz w:val="20"/>
          <w:szCs w:val="20"/>
        </w:rPr>
      </w:pPr>
    </w:p>
    <w:p w14:paraId="65ED2899" w14:textId="77777777" w:rsidR="0065189F" w:rsidRDefault="0065189F" w:rsidP="006001B0">
      <w:pPr>
        <w:spacing w:after="0" w:line="276" w:lineRule="auto"/>
        <w:rPr>
          <w:rFonts w:ascii="Century Gothic" w:hAnsi="Century Gothic"/>
          <w:b/>
          <w:bCs/>
          <w:color w:val="44546A"/>
          <w:sz w:val="20"/>
          <w:szCs w:val="20"/>
        </w:rPr>
      </w:pPr>
    </w:p>
    <w:p w14:paraId="563B5B1C" w14:textId="77777777" w:rsidR="0065189F" w:rsidRDefault="0065189F" w:rsidP="006001B0">
      <w:pPr>
        <w:spacing w:after="0" w:line="276" w:lineRule="auto"/>
        <w:rPr>
          <w:rFonts w:ascii="Century Gothic" w:hAnsi="Century Gothic"/>
          <w:b/>
          <w:bCs/>
          <w:color w:val="44546A"/>
          <w:sz w:val="20"/>
          <w:szCs w:val="20"/>
        </w:rPr>
      </w:pPr>
    </w:p>
    <w:p w14:paraId="3E231FBB" w14:textId="77777777" w:rsidR="0065189F" w:rsidRDefault="0065189F" w:rsidP="006001B0">
      <w:pPr>
        <w:spacing w:after="0" w:line="276" w:lineRule="auto"/>
        <w:rPr>
          <w:rFonts w:ascii="Century Gothic" w:hAnsi="Century Gothic"/>
          <w:b/>
          <w:bCs/>
          <w:color w:val="44546A"/>
          <w:sz w:val="20"/>
          <w:szCs w:val="20"/>
        </w:rPr>
      </w:pPr>
    </w:p>
    <w:p w14:paraId="64852B9D" w14:textId="77777777" w:rsidR="0065189F" w:rsidRDefault="0065189F" w:rsidP="006001B0">
      <w:pPr>
        <w:spacing w:after="0" w:line="276" w:lineRule="auto"/>
        <w:rPr>
          <w:rFonts w:ascii="Century Gothic" w:hAnsi="Century Gothic"/>
          <w:b/>
          <w:bCs/>
          <w:color w:val="44546A"/>
          <w:sz w:val="20"/>
          <w:szCs w:val="20"/>
        </w:rPr>
      </w:pPr>
    </w:p>
    <w:p w14:paraId="63E70857" w14:textId="77777777" w:rsidR="0065189F" w:rsidRDefault="0065189F" w:rsidP="006001B0">
      <w:pPr>
        <w:spacing w:after="0" w:line="276" w:lineRule="auto"/>
        <w:rPr>
          <w:rFonts w:ascii="Century Gothic" w:hAnsi="Century Gothic"/>
          <w:b/>
          <w:bCs/>
          <w:color w:val="44546A"/>
          <w:sz w:val="20"/>
          <w:szCs w:val="20"/>
        </w:rPr>
      </w:pPr>
    </w:p>
    <w:p w14:paraId="3137D76F" w14:textId="77777777" w:rsidR="0065189F" w:rsidRDefault="0065189F" w:rsidP="006001B0">
      <w:pPr>
        <w:spacing w:after="0" w:line="276" w:lineRule="auto"/>
        <w:rPr>
          <w:rFonts w:ascii="Century Gothic" w:hAnsi="Century Gothic"/>
          <w:b/>
          <w:bCs/>
          <w:color w:val="44546A"/>
          <w:sz w:val="20"/>
          <w:szCs w:val="20"/>
        </w:rPr>
      </w:pPr>
    </w:p>
    <w:p w14:paraId="46509165" w14:textId="77777777" w:rsidR="0065189F" w:rsidRDefault="0065189F" w:rsidP="006001B0">
      <w:pPr>
        <w:spacing w:after="0" w:line="276" w:lineRule="auto"/>
        <w:rPr>
          <w:rFonts w:ascii="Century Gothic" w:hAnsi="Century Gothic"/>
          <w:b/>
          <w:bCs/>
          <w:color w:val="44546A"/>
          <w:sz w:val="20"/>
          <w:szCs w:val="20"/>
        </w:rPr>
      </w:pPr>
    </w:p>
    <w:p w14:paraId="1BE6A1E4" w14:textId="77777777" w:rsidR="0065189F" w:rsidRDefault="0065189F" w:rsidP="006001B0">
      <w:pPr>
        <w:spacing w:after="0" w:line="276" w:lineRule="auto"/>
        <w:rPr>
          <w:rFonts w:ascii="Century Gothic" w:hAnsi="Century Gothic"/>
          <w:b/>
          <w:bCs/>
          <w:color w:val="44546A"/>
          <w:sz w:val="20"/>
          <w:szCs w:val="20"/>
        </w:rPr>
      </w:pPr>
    </w:p>
    <w:p w14:paraId="79DD6544" w14:textId="77777777" w:rsidR="0065189F" w:rsidRDefault="0065189F" w:rsidP="006001B0">
      <w:pPr>
        <w:spacing w:after="0" w:line="276" w:lineRule="auto"/>
        <w:rPr>
          <w:rFonts w:ascii="Century Gothic" w:hAnsi="Century Gothic"/>
          <w:b/>
          <w:bCs/>
          <w:color w:val="44546A"/>
          <w:sz w:val="20"/>
          <w:szCs w:val="20"/>
        </w:rPr>
      </w:pPr>
    </w:p>
    <w:p w14:paraId="3D82DFCF" w14:textId="77777777" w:rsidR="0065189F" w:rsidRDefault="0065189F" w:rsidP="006001B0">
      <w:pPr>
        <w:spacing w:after="0" w:line="276" w:lineRule="auto"/>
        <w:rPr>
          <w:rFonts w:ascii="Century Gothic" w:hAnsi="Century Gothic"/>
          <w:b/>
          <w:bCs/>
          <w:color w:val="44546A"/>
          <w:sz w:val="20"/>
          <w:szCs w:val="20"/>
        </w:rPr>
      </w:pPr>
    </w:p>
    <w:p w14:paraId="60D0D6A6" w14:textId="77777777" w:rsidR="0065189F" w:rsidRDefault="0065189F" w:rsidP="006001B0">
      <w:pPr>
        <w:spacing w:after="0" w:line="276" w:lineRule="auto"/>
        <w:rPr>
          <w:rFonts w:ascii="Century Gothic" w:hAnsi="Century Gothic"/>
          <w:b/>
          <w:bCs/>
          <w:color w:val="44546A"/>
          <w:sz w:val="20"/>
          <w:szCs w:val="20"/>
        </w:rPr>
      </w:pPr>
    </w:p>
    <w:p w14:paraId="46C77EF6" w14:textId="77777777" w:rsidR="0065189F" w:rsidRDefault="0065189F" w:rsidP="006001B0">
      <w:pPr>
        <w:spacing w:after="0" w:line="276" w:lineRule="auto"/>
        <w:rPr>
          <w:rFonts w:ascii="Century Gothic" w:hAnsi="Century Gothic"/>
          <w:b/>
          <w:bCs/>
          <w:color w:val="44546A"/>
          <w:sz w:val="20"/>
          <w:szCs w:val="20"/>
        </w:rPr>
      </w:pPr>
    </w:p>
    <w:p w14:paraId="6E5E8958" w14:textId="77777777" w:rsidR="0065189F" w:rsidRDefault="0065189F" w:rsidP="006001B0">
      <w:pPr>
        <w:spacing w:after="0" w:line="276" w:lineRule="auto"/>
        <w:rPr>
          <w:rFonts w:ascii="Century Gothic" w:hAnsi="Century Gothic"/>
          <w:b/>
          <w:bCs/>
          <w:color w:val="44546A"/>
          <w:sz w:val="20"/>
          <w:szCs w:val="20"/>
        </w:rPr>
      </w:pPr>
    </w:p>
    <w:p w14:paraId="3BC7D6FA" w14:textId="77777777" w:rsidR="0065189F" w:rsidRDefault="0065189F" w:rsidP="006001B0">
      <w:pPr>
        <w:spacing w:after="0" w:line="276" w:lineRule="auto"/>
        <w:rPr>
          <w:rFonts w:ascii="Century Gothic" w:hAnsi="Century Gothic"/>
          <w:b/>
          <w:bCs/>
          <w:color w:val="44546A"/>
          <w:sz w:val="20"/>
          <w:szCs w:val="20"/>
        </w:rPr>
      </w:pPr>
    </w:p>
    <w:p w14:paraId="7C8EFEC5" w14:textId="77777777" w:rsidR="0065189F" w:rsidRDefault="0065189F" w:rsidP="006001B0">
      <w:pPr>
        <w:spacing w:after="0" w:line="276" w:lineRule="auto"/>
        <w:rPr>
          <w:rFonts w:ascii="Century Gothic" w:hAnsi="Century Gothic"/>
          <w:b/>
          <w:bCs/>
          <w:color w:val="44546A"/>
          <w:sz w:val="20"/>
          <w:szCs w:val="20"/>
        </w:rPr>
      </w:pPr>
    </w:p>
    <w:p w14:paraId="14D0D67D" w14:textId="77777777" w:rsidR="0065189F" w:rsidRDefault="0065189F" w:rsidP="006001B0">
      <w:pPr>
        <w:spacing w:after="0" w:line="276" w:lineRule="auto"/>
        <w:rPr>
          <w:rFonts w:ascii="Century Gothic" w:hAnsi="Century Gothic"/>
          <w:b/>
          <w:bCs/>
          <w:color w:val="44546A"/>
          <w:sz w:val="20"/>
          <w:szCs w:val="20"/>
        </w:rPr>
      </w:pPr>
    </w:p>
    <w:p w14:paraId="2AC123E5" w14:textId="77777777" w:rsidR="0065189F" w:rsidRDefault="0065189F" w:rsidP="006001B0">
      <w:pPr>
        <w:spacing w:after="0" w:line="276" w:lineRule="auto"/>
        <w:rPr>
          <w:rFonts w:ascii="Century Gothic" w:hAnsi="Century Gothic"/>
          <w:b/>
          <w:bCs/>
          <w:color w:val="44546A"/>
          <w:sz w:val="20"/>
          <w:szCs w:val="20"/>
        </w:rPr>
      </w:pPr>
    </w:p>
    <w:p w14:paraId="5FAF8510" w14:textId="0CA3F9A7" w:rsidR="004D7F3D" w:rsidRDefault="004D7F3D">
      <w:pPr>
        <w:rPr>
          <w:rFonts w:ascii="Century Gothic" w:hAnsi="Century Gothic"/>
          <w:b/>
          <w:bCs/>
          <w:color w:val="44546A"/>
          <w:sz w:val="20"/>
          <w:szCs w:val="20"/>
        </w:rPr>
      </w:pPr>
      <w:r>
        <w:rPr>
          <w:rFonts w:ascii="Century Gothic" w:hAnsi="Century Gothic"/>
          <w:b/>
          <w:bCs/>
          <w:color w:val="44546A"/>
          <w:sz w:val="20"/>
          <w:szCs w:val="20"/>
        </w:rPr>
        <w:br w:type="page"/>
      </w:r>
    </w:p>
    <w:p w14:paraId="6DC5D4F4" w14:textId="3C298409" w:rsidR="0058608C" w:rsidRPr="00871BA9" w:rsidRDefault="0058608C" w:rsidP="0065189F">
      <w:pPr>
        <w:pStyle w:val="Heading1"/>
        <w:numPr>
          <w:ilvl w:val="0"/>
          <w:numId w:val="2"/>
        </w:numPr>
        <w:shd w:val="clear" w:color="auto" w:fill="3DA5BD"/>
        <w:spacing w:after="120"/>
        <w:ind w:left="360"/>
        <w:rPr>
          <w:rFonts w:ascii="Century Gothic" w:hAnsi="Century Gothic"/>
          <w:b/>
          <w:bCs/>
          <w:color w:val="FFFFFF" w:themeColor="background1"/>
        </w:rPr>
      </w:pPr>
      <w:bookmarkStart w:id="48" w:name="_Toc491783051"/>
      <w:r>
        <w:rPr>
          <w:rFonts w:ascii="Century Gothic" w:hAnsi="Century Gothic"/>
          <w:b/>
          <w:bCs/>
          <w:color w:val="FFFFFF" w:themeColor="background1"/>
        </w:rPr>
        <w:lastRenderedPageBreak/>
        <w:t>Occupation</w:t>
      </w:r>
      <w:r w:rsidR="00457CAC">
        <w:rPr>
          <w:rFonts w:ascii="Century Gothic" w:hAnsi="Century Gothic"/>
          <w:b/>
          <w:bCs/>
          <w:color w:val="FFFFFF" w:themeColor="background1"/>
        </w:rPr>
        <w:t xml:space="preserve"> and Income</w:t>
      </w:r>
      <w:bookmarkEnd w:id="48"/>
    </w:p>
    <w:p w14:paraId="57C91C1C" w14:textId="312887D2" w:rsidR="00D144BC" w:rsidRDefault="00D144BC" w:rsidP="006001B0">
      <w:pPr>
        <w:spacing w:after="0" w:line="276" w:lineRule="auto"/>
        <w:rPr>
          <w:rFonts w:ascii="Century Gothic" w:hAnsi="Century Gothic"/>
          <w:b/>
          <w:bCs/>
          <w:color w:val="44546A"/>
          <w:sz w:val="20"/>
          <w:szCs w:val="20"/>
        </w:rPr>
      </w:pPr>
    </w:p>
    <w:p w14:paraId="7AEF4C1E" w14:textId="6C561F14" w:rsidR="00D144BC" w:rsidRPr="00DE7843" w:rsidRDefault="00480CC3" w:rsidP="004D7F3D">
      <w:pPr>
        <w:spacing w:after="0" w:line="360" w:lineRule="auto"/>
        <w:rPr>
          <w:rFonts w:ascii="Century Gothic" w:hAnsi="Century Gothic"/>
          <w:sz w:val="21"/>
          <w:szCs w:val="21"/>
        </w:rPr>
      </w:pPr>
      <w:r w:rsidRPr="00DE7843">
        <w:rPr>
          <w:rFonts w:ascii="Century Gothic" w:hAnsi="Century Gothic"/>
          <w:sz w:val="21"/>
          <w:szCs w:val="21"/>
        </w:rPr>
        <w:t>This final section looks at the occupational profile</w:t>
      </w:r>
      <w:r w:rsidR="00457CAC">
        <w:rPr>
          <w:rFonts w:ascii="Century Gothic" w:hAnsi="Century Gothic"/>
          <w:sz w:val="21"/>
          <w:szCs w:val="21"/>
        </w:rPr>
        <w:t xml:space="preserve"> and income</w:t>
      </w:r>
      <w:r w:rsidRPr="00DE7843">
        <w:rPr>
          <w:rFonts w:ascii="Century Gothic" w:hAnsi="Century Gothic"/>
          <w:sz w:val="21"/>
          <w:szCs w:val="21"/>
        </w:rPr>
        <w:t xml:space="preserve"> </w:t>
      </w:r>
      <w:r w:rsidR="00BF51CA" w:rsidRPr="00DE7843">
        <w:rPr>
          <w:rFonts w:ascii="Century Gothic" w:hAnsi="Century Gothic"/>
          <w:sz w:val="21"/>
          <w:szCs w:val="21"/>
        </w:rPr>
        <w:t xml:space="preserve">of </w:t>
      </w:r>
      <w:proofErr w:type="spellStart"/>
      <w:r w:rsidR="00BF51CA" w:rsidRPr="00DE7843">
        <w:rPr>
          <w:rFonts w:ascii="Century Gothic" w:hAnsi="Century Gothic"/>
          <w:sz w:val="21"/>
          <w:szCs w:val="21"/>
        </w:rPr>
        <w:t>Ngāi</w:t>
      </w:r>
      <w:proofErr w:type="spellEnd"/>
      <w:r w:rsidR="00BF51CA" w:rsidRPr="00DE7843">
        <w:rPr>
          <w:rFonts w:ascii="Century Gothic" w:hAnsi="Century Gothic"/>
          <w:sz w:val="21"/>
          <w:szCs w:val="21"/>
        </w:rPr>
        <w:t xml:space="preserve"> </w:t>
      </w:r>
      <w:proofErr w:type="spellStart"/>
      <w:r w:rsidR="00BF51CA" w:rsidRPr="00DE7843">
        <w:rPr>
          <w:rFonts w:ascii="Century Gothic" w:hAnsi="Century Gothic"/>
          <w:sz w:val="21"/>
          <w:szCs w:val="21"/>
        </w:rPr>
        <w:t>Tāmanuhiri</w:t>
      </w:r>
      <w:proofErr w:type="spellEnd"/>
      <w:r w:rsidR="00BF51CA" w:rsidRPr="00DE7843">
        <w:rPr>
          <w:rFonts w:ascii="Century Gothic" w:hAnsi="Century Gothic"/>
          <w:sz w:val="21"/>
          <w:szCs w:val="21"/>
        </w:rPr>
        <w:t xml:space="preserve"> and </w:t>
      </w:r>
      <w:proofErr w:type="spellStart"/>
      <w:r w:rsidR="00610110" w:rsidRPr="00DE7843">
        <w:rPr>
          <w:rFonts w:ascii="Century Gothic" w:hAnsi="Century Gothic"/>
          <w:sz w:val="21"/>
          <w:szCs w:val="21"/>
        </w:rPr>
        <w:t>Ngāi</w:t>
      </w:r>
      <w:proofErr w:type="spellEnd"/>
      <w:r w:rsidR="00610110" w:rsidRPr="00DE7843">
        <w:rPr>
          <w:rFonts w:ascii="Century Gothic" w:hAnsi="Century Gothic"/>
          <w:sz w:val="21"/>
          <w:szCs w:val="21"/>
        </w:rPr>
        <w:t xml:space="preserve"> </w:t>
      </w:r>
      <w:proofErr w:type="spellStart"/>
      <w:r w:rsidR="00610110" w:rsidRPr="00DE7843">
        <w:rPr>
          <w:rFonts w:ascii="Century Gothic" w:hAnsi="Century Gothic"/>
          <w:sz w:val="21"/>
          <w:szCs w:val="21"/>
        </w:rPr>
        <w:t>Tāmanuhiri</w:t>
      </w:r>
      <w:proofErr w:type="spellEnd"/>
      <w:r w:rsidR="00610110" w:rsidRPr="00DE7843">
        <w:rPr>
          <w:rFonts w:ascii="Century Gothic" w:hAnsi="Century Gothic"/>
          <w:sz w:val="21"/>
          <w:szCs w:val="21"/>
        </w:rPr>
        <w:t xml:space="preserve"> </w:t>
      </w:r>
      <w:proofErr w:type="spellStart"/>
      <w:proofErr w:type="gramStart"/>
      <w:r w:rsidR="00BF51CA" w:rsidRPr="00DE7843">
        <w:rPr>
          <w:rFonts w:ascii="Century Gothic" w:hAnsi="Century Gothic"/>
          <w:sz w:val="21"/>
          <w:szCs w:val="21"/>
        </w:rPr>
        <w:t>t</w:t>
      </w:r>
      <w:r w:rsidR="000B60A9" w:rsidRPr="00DE7843">
        <w:rPr>
          <w:rFonts w:ascii="Century Gothic" w:hAnsi="Century Gothic"/>
          <w:sz w:val="21"/>
          <w:szCs w:val="21"/>
        </w:rPr>
        <w:t>e</w:t>
      </w:r>
      <w:proofErr w:type="spellEnd"/>
      <w:proofErr w:type="gramEnd"/>
      <w:r w:rsidR="000B60A9" w:rsidRPr="00DE7843">
        <w:rPr>
          <w:rFonts w:ascii="Century Gothic" w:hAnsi="Century Gothic"/>
          <w:sz w:val="21"/>
          <w:szCs w:val="21"/>
        </w:rPr>
        <w:t xml:space="preserve"> reo Māori</w:t>
      </w:r>
      <w:r w:rsidRPr="00DE7843">
        <w:rPr>
          <w:rFonts w:ascii="Century Gothic" w:hAnsi="Century Gothic"/>
          <w:sz w:val="21"/>
          <w:szCs w:val="21"/>
        </w:rPr>
        <w:t xml:space="preserve"> </w:t>
      </w:r>
      <w:r w:rsidR="00BF51CA" w:rsidRPr="00DE7843">
        <w:rPr>
          <w:rFonts w:ascii="Century Gothic" w:hAnsi="Century Gothic"/>
          <w:sz w:val="21"/>
          <w:szCs w:val="21"/>
        </w:rPr>
        <w:t>speakers</w:t>
      </w:r>
      <w:r w:rsidRPr="00DE7843">
        <w:rPr>
          <w:rFonts w:ascii="Century Gothic" w:hAnsi="Century Gothic"/>
          <w:sz w:val="21"/>
          <w:szCs w:val="21"/>
        </w:rPr>
        <w:t>.</w:t>
      </w:r>
      <w:r w:rsidR="00233428" w:rsidRPr="00DE7843">
        <w:rPr>
          <w:rFonts w:ascii="Century Gothic" w:hAnsi="Century Gothic"/>
          <w:sz w:val="21"/>
          <w:szCs w:val="21"/>
        </w:rPr>
        <w:t xml:space="preserve"> Occupation is strongly correlated with income</w:t>
      </w:r>
      <w:r w:rsidR="00C95F80" w:rsidRPr="00DE7843">
        <w:rPr>
          <w:rFonts w:ascii="Century Gothic" w:hAnsi="Century Gothic"/>
          <w:sz w:val="21"/>
          <w:szCs w:val="21"/>
        </w:rPr>
        <w:t xml:space="preserve">. </w:t>
      </w:r>
      <w:r w:rsidR="00233428" w:rsidRPr="00DE7843">
        <w:rPr>
          <w:rFonts w:ascii="Century Gothic" w:hAnsi="Century Gothic"/>
          <w:sz w:val="21"/>
          <w:szCs w:val="21"/>
        </w:rPr>
        <w:t>New Zealanders in professional occupations have the highest median personal income</w:t>
      </w:r>
      <w:r w:rsidR="00233428" w:rsidRPr="004D7F3D">
        <w:rPr>
          <w:rStyle w:val="FootnoteReference"/>
          <w:rFonts w:ascii="Century Gothic" w:hAnsi="Century Gothic"/>
          <w:bCs/>
          <w:sz w:val="21"/>
          <w:szCs w:val="21"/>
        </w:rPr>
        <w:footnoteReference w:id="14"/>
      </w:r>
      <w:r w:rsidR="004D7F3D">
        <w:rPr>
          <w:rFonts w:ascii="Century Gothic" w:hAnsi="Century Gothic"/>
          <w:sz w:val="21"/>
          <w:szCs w:val="21"/>
        </w:rPr>
        <w:t xml:space="preserve">, and </w:t>
      </w:r>
      <w:r w:rsidR="00C95F80" w:rsidRPr="00DE7843">
        <w:rPr>
          <w:rFonts w:ascii="Century Gothic" w:hAnsi="Century Gothic"/>
          <w:sz w:val="21"/>
          <w:szCs w:val="21"/>
        </w:rPr>
        <w:t>jobs in labouring and manufacturing tend be</w:t>
      </w:r>
      <w:r w:rsidR="00233428" w:rsidRPr="00DE7843">
        <w:rPr>
          <w:rFonts w:ascii="Century Gothic" w:hAnsi="Century Gothic"/>
          <w:sz w:val="21"/>
          <w:szCs w:val="21"/>
        </w:rPr>
        <w:t xml:space="preserve"> more vulnerable to economi</w:t>
      </w:r>
      <w:r w:rsidR="00610110" w:rsidRPr="00DE7843">
        <w:rPr>
          <w:rFonts w:ascii="Century Gothic" w:hAnsi="Century Gothic"/>
          <w:sz w:val="21"/>
          <w:szCs w:val="21"/>
        </w:rPr>
        <w:t>c downturns and restructuring. S</w:t>
      </w:r>
      <w:r w:rsidR="00233428" w:rsidRPr="00DE7843">
        <w:rPr>
          <w:rFonts w:ascii="Century Gothic" w:hAnsi="Century Gothic"/>
          <w:sz w:val="21"/>
          <w:szCs w:val="21"/>
        </w:rPr>
        <w:t xml:space="preserve">uch was the case with those working in the manufacturing sector during the brutal restructuring of the late 1980s that disproportionately impacted Māori. </w:t>
      </w:r>
    </w:p>
    <w:p w14:paraId="6D3D348E" w14:textId="77777777" w:rsidR="00233428" w:rsidRPr="00DE7843" w:rsidRDefault="00233428" w:rsidP="00480CC3">
      <w:pPr>
        <w:spacing w:after="0" w:line="360" w:lineRule="auto"/>
        <w:rPr>
          <w:rFonts w:ascii="Century Gothic" w:hAnsi="Century Gothic"/>
          <w:sz w:val="21"/>
          <w:szCs w:val="21"/>
        </w:rPr>
      </w:pPr>
    </w:p>
    <w:p w14:paraId="7874C72D" w14:textId="6B9DD2D7" w:rsidR="00F43010" w:rsidRPr="00DE7843" w:rsidRDefault="00233428" w:rsidP="00C95F80">
      <w:pPr>
        <w:spacing w:after="0" w:line="360" w:lineRule="auto"/>
        <w:rPr>
          <w:rFonts w:ascii="Century Gothic" w:hAnsi="Century Gothic"/>
          <w:sz w:val="21"/>
          <w:szCs w:val="21"/>
        </w:rPr>
      </w:pPr>
      <w:r w:rsidRPr="00DE7843">
        <w:rPr>
          <w:rFonts w:ascii="Century Gothic" w:hAnsi="Century Gothic"/>
          <w:sz w:val="21"/>
          <w:szCs w:val="21"/>
        </w:rPr>
        <w:t xml:space="preserve">Figure 5.1 shows broad occupational groupings for </w:t>
      </w:r>
      <w:proofErr w:type="spellStart"/>
      <w:r w:rsidRPr="00DE7843">
        <w:rPr>
          <w:rFonts w:ascii="Century Gothic" w:hAnsi="Century Gothic"/>
          <w:sz w:val="21"/>
          <w:szCs w:val="21"/>
        </w:rPr>
        <w:t>Ngāi</w:t>
      </w:r>
      <w:proofErr w:type="spellEnd"/>
      <w:r w:rsidRPr="00DE7843">
        <w:rPr>
          <w:rFonts w:ascii="Century Gothic" w:hAnsi="Century Gothic"/>
          <w:sz w:val="21"/>
          <w:szCs w:val="21"/>
        </w:rPr>
        <w:t xml:space="preserve"> </w:t>
      </w:r>
      <w:proofErr w:type="spellStart"/>
      <w:r w:rsidRPr="00DE7843">
        <w:rPr>
          <w:rFonts w:ascii="Century Gothic" w:hAnsi="Century Gothic"/>
          <w:sz w:val="21"/>
          <w:szCs w:val="21"/>
        </w:rPr>
        <w:t>Tāmanuhiri</w:t>
      </w:r>
      <w:proofErr w:type="spellEnd"/>
      <w:r w:rsidR="00F43010" w:rsidRPr="00DE7843">
        <w:rPr>
          <w:rFonts w:ascii="Century Gothic" w:hAnsi="Century Gothic"/>
          <w:sz w:val="21"/>
          <w:szCs w:val="21"/>
        </w:rPr>
        <w:t xml:space="preserve"> at the 2006 and 2013 censuse</w:t>
      </w:r>
      <w:r w:rsidR="000B60A9" w:rsidRPr="00DE7843">
        <w:rPr>
          <w:rFonts w:ascii="Century Gothic" w:hAnsi="Century Gothic"/>
          <w:sz w:val="21"/>
          <w:szCs w:val="21"/>
        </w:rPr>
        <w:t>s.</w:t>
      </w:r>
      <w:r w:rsidR="00F43010" w:rsidRPr="004D7F3D">
        <w:rPr>
          <w:rStyle w:val="FootnoteReference"/>
          <w:rFonts w:ascii="Century Gothic" w:hAnsi="Century Gothic"/>
          <w:bCs/>
          <w:sz w:val="21"/>
          <w:szCs w:val="21"/>
        </w:rPr>
        <w:footnoteReference w:id="15"/>
      </w:r>
      <w:r w:rsidR="004D7F3D">
        <w:rPr>
          <w:bCs/>
        </w:rPr>
        <w:t xml:space="preserve"> </w:t>
      </w:r>
      <w:r w:rsidR="00C95F80" w:rsidRPr="00DE7843">
        <w:rPr>
          <w:rFonts w:ascii="Century Gothic" w:hAnsi="Century Gothic"/>
          <w:sz w:val="21"/>
          <w:szCs w:val="21"/>
        </w:rPr>
        <w:t>O</w:t>
      </w:r>
      <w:r w:rsidR="00F43010" w:rsidRPr="00DE7843">
        <w:rPr>
          <w:rFonts w:ascii="Century Gothic" w:hAnsi="Century Gothic"/>
          <w:sz w:val="21"/>
          <w:szCs w:val="21"/>
        </w:rPr>
        <w:t xml:space="preserve">ccupations </w:t>
      </w:r>
      <w:r w:rsidR="00C95F80" w:rsidRPr="00DE7843">
        <w:rPr>
          <w:rFonts w:ascii="Century Gothic" w:hAnsi="Century Gothic"/>
          <w:sz w:val="21"/>
          <w:szCs w:val="21"/>
        </w:rPr>
        <w:t xml:space="preserve">are grouped together </w:t>
      </w:r>
      <w:r w:rsidR="00F43010" w:rsidRPr="00DE7843">
        <w:rPr>
          <w:rFonts w:ascii="Century Gothic" w:hAnsi="Century Gothic"/>
          <w:sz w:val="21"/>
          <w:szCs w:val="21"/>
        </w:rPr>
        <w:t>because of the small numbers involved</w:t>
      </w:r>
      <w:r w:rsidR="00C95F80" w:rsidRPr="00DE7843">
        <w:rPr>
          <w:rFonts w:ascii="Century Gothic" w:hAnsi="Century Gothic"/>
          <w:sz w:val="21"/>
          <w:szCs w:val="21"/>
        </w:rPr>
        <w:t>. The</w:t>
      </w:r>
      <w:r w:rsidR="00F43010" w:rsidRPr="00DE7843">
        <w:rPr>
          <w:rFonts w:ascii="Century Gothic" w:hAnsi="Century Gothic"/>
          <w:sz w:val="21"/>
          <w:szCs w:val="21"/>
        </w:rPr>
        <w:t xml:space="preserve"> patterns obs</w:t>
      </w:r>
      <w:r w:rsidR="000B60A9" w:rsidRPr="00DE7843">
        <w:rPr>
          <w:rFonts w:ascii="Century Gothic" w:hAnsi="Century Gothic"/>
          <w:sz w:val="21"/>
          <w:szCs w:val="21"/>
        </w:rPr>
        <w:t xml:space="preserve">erved are </w:t>
      </w:r>
      <w:r w:rsidR="00C95F80" w:rsidRPr="00DE7843">
        <w:rPr>
          <w:rFonts w:ascii="Century Gothic" w:hAnsi="Century Gothic"/>
          <w:sz w:val="21"/>
          <w:szCs w:val="21"/>
        </w:rPr>
        <w:t xml:space="preserve">thus </w:t>
      </w:r>
      <w:r w:rsidR="000B60A9" w:rsidRPr="00DE7843">
        <w:rPr>
          <w:rFonts w:ascii="Century Gothic" w:hAnsi="Century Gothic"/>
          <w:sz w:val="21"/>
          <w:szCs w:val="21"/>
        </w:rPr>
        <w:t xml:space="preserve">at a very high level and there </w:t>
      </w:r>
      <w:r w:rsidR="00F43010" w:rsidRPr="00DE7843">
        <w:rPr>
          <w:rFonts w:ascii="Century Gothic" w:hAnsi="Century Gothic"/>
          <w:sz w:val="21"/>
          <w:szCs w:val="21"/>
        </w:rPr>
        <w:t>is considerable diversity within many of the categories. For example, the ‘managers’ occupation includes more than 12</w:t>
      </w:r>
      <w:r w:rsidR="00C95F80" w:rsidRPr="00DE7843">
        <w:rPr>
          <w:rFonts w:ascii="Century Gothic" w:hAnsi="Century Gothic"/>
          <w:sz w:val="21"/>
          <w:szCs w:val="21"/>
        </w:rPr>
        <w:t xml:space="preserve">0 specific types of managers, </w:t>
      </w:r>
      <w:r w:rsidR="00F43010" w:rsidRPr="00DE7843">
        <w:rPr>
          <w:rFonts w:ascii="Century Gothic" w:hAnsi="Century Gothic"/>
          <w:sz w:val="21"/>
          <w:szCs w:val="21"/>
        </w:rPr>
        <w:t>from chief executive of a large corporation to customer service manager in a small firm</w:t>
      </w:r>
      <w:r w:rsidR="00C95F80" w:rsidRPr="00DE7843">
        <w:rPr>
          <w:rFonts w:ascii="Century Gothic" w:hAnsi="Century Gothic"/>
          <w:sz w:val="21"/>
          <w:szCs w:val="21"/>
        </w:rPr>
        <w:t xml:space="preserve">. It also </w:t>
      </w:r>
      <w:r w:rsidR="00F43010" w:rsidRPr="00DE7843">
        <w:rPr>
          <w:rFonts w:ascii="Century Gothic" w:hAnsi="Century Gothic"/>
          <w:sz w:val="21"/>
          <w:szCs w:val="21"/>
        </w:rPr>
        <w:t>subsumes a range of skill levels.</w:t>
      </w:r>
    </w:p>
    <w:p w14:paraId="247EC824" w14:textId="77777777" w:rsidR="00F43010" w:rsidRPr="00DE7843" w:rsidRDefault="00F43010" w:rsidP="00FC54FD">
      <w:pPr>
        <w:spacing w:after="0" w:line="360" w:lineRule="auto"/>
        <w:rPr>
          <w:rFonts w:ascii="Century Gothic" w:hAnsi="Century Gothic"/>
          <w:sz w:val="21"/>
          <w:szCs w:val="21"/>
        </w:rPr>
      </w:pPr>
    </w:p>
    <w:p w14:paraId="7CCFDA1B" w14:textId="63F83BD3" w:rsidR="00FC54FD" w:rsidRPr="00DE7843" w:rsidRDefault="00233428" w:rsidP="00C95F80">
      <w:pPr>
        <w:spacing w:after="0" w:line="360" w:lineRule="auto"/>
        <w:rPr>
          <w:rFonts w:ascii="Century Gothic" w:hAnsi="Century Gothic"/>
          <w:sz w:val="21"/>
          <w:szCs w:val="21"/>
        </w:rPr>
      </w:pPr>
      <w:r w:rsidRPr="00DE7843">
        <w:rPr>
          <w:rFonts w:ascii="Century Gothic" w:hAnsi="Century Gothic"/>
          <w:sz w:val="21"/>
          <w:szCs w:val="21"/>
        </w:rPr>
        <w:t>Over time the share employed in managerial and professional jobs has increased, from just over a third in 2006 (34.4 per cent</w:t>
      </w:r>
      <w:r w:rsidR="006335DA" w:rsidRPr="00DE7843">
        <w:rPr>
          <w:rFonts w:ascii="Century Gothic" w:hAnsi="Century Gothic"/>
          <w:sz w:val="21"/>
          <w:szCs w:val="21"/>
        </w:rPr>
        <w:t xml:space="preserve">, </w:t>
      </w:r>
      <w:r w:rsidR="00610110" w:rsidRPr="00DE7843">
        <w:rPr>
          <w:rFonts w:ascii="Century Gothic" w:hAnsi="Century Gothic"/>
          <w:sz w:val="21"/>
          <w:szCs w:val="21"/>
        </w:rPr>
        <w:t>n= 231</w:t>
      </w:r>
      <w:r w:rsidRPr="00DE7843">
        <w:rPr>
          <w:rFonts w:ascii="Century Gothic" w:hAnsi="Century Gothic"/>
          <w:sz w:val="21"/>
          <w:szCs w:val="21"/>
        </w:rPr>
        <w:t>) to just over 40 per cent in 2013</w:t>
      </w:r>
      <w:r w:rsidR="006335DA" w:rsidRPr="00DE7843">
        <w:rPr>
          <w:rFonts w:ascii="Century Gothic" w:hAnsi="Century Gothic"/>
          <w:sz w:val="21"/>
          <w:szCs w:val="21"/>
        </w:rPr>
        <w:t xml:space="preserve"> (</w:t>
      </w:r>
      <w:r w:rsidR="00610110" w:rsidRPr="00DE7843">
        <w:rPr>
          <w:rFonts w:ascii="Century Gothic" w:hAnsi="Century Gothic"/>
          <w:sz w:val="21"/>
          <w:szCs w:val="21"/>
        </w:rPr>
        <w:t>n=273</w:t>
      </w:r>
      <w:r w:rsidR="006335DA" w:rsidRPr="00DE7843">
        <w:rPr>
          <w:rFonts w:ascii="Century Gothic" w:hAnsi="Century Gothic"/>
          <w:sz w:val="21"/>
          <w:szCs w:val="21"/>
        </w:rPr>
        <w:t>)</w:t>
      </w:r>
      <w:r w:rsidRPr="00DE7843">
        <w:rPr>
          <w:rFonts w:ascii="Century Gothic" w:hAnsi="Century Gothic"/>
          <w:sz w:val="21"/>
          <w:szCs w:val="21"/>
        </w:rPr>
        <w:t xml:space="preserve">. In both periods the share of </w:t>
      </w:r>
      <w:proofErr w:type="spellStart"/>
      <w:r w:rsidRPr="00DE7843">
        <w:rPr>
          <w:rFonts w:ascii="Century Gothic" w:hAnsi="Century Gothic"/>
          <w:sz w:val="21"/>
          <w:szCs w:val="21"/>
        </w:rPr>
        <w:t>Ngāi</w:t>
      </w:r>
      <w:proofErr w:type="spellEnd"/>
      <w:r w:rsidRPr="00DE7843">
        <w:rPr>
          <w:rFonts w:ascii="Century Gothic" w:hAnsi="Century Gothic"/>
          <w:sz w:val="21"/>
          <w:szCs w:val="21"/>
        </w:rPr>
        <w:t xml:space="preserve"> </w:t>
      </w:r>
      <w:proofErr w:type="spellStart"/>
      <w:r w:rsidRPr="00DE7843">
        <w:rPr>
          <w:rFonts w:ascii="Century Gothic" w:hAnsi="Century Gothic"/>
          <w:sz w:val="21"/>
          <w:szCs w:val="21"/>
        </w:rPr>
        <w:t>Tāmanuhiri</w:t>
      </w:r>
      <w:proofErr w:type="spellEnd"/>
      <w:r w:rsidRPr="00DE7843">
        <w:rPr>
          <w:rFonts w:ascii="Century Gothic" w:hAnsi="Century Gothic"/>
          <w:sz w:val="21"/>
          <w:szCs w:val="21"/>
        </w:rPr>
        <w:t xml:space="preserve"> working in managerial and professional jobs significantly exceeded the share for Māori generally.</w:t>
      </w:r>
      <w:r w:rsidR="00FC54FD" w:rsidRPr="00DE7843">
        <w:rPr>
          <w:rFonts w:ascii="Century Gothic" w:hAnsi="Century Gothic"/>
          <w:sz w:val="21"/>
          <w:szCs w:val="21"/>
        </w:rPr>
        <w:t xml:space="preserve"> </w:t>
      </w:r>
      <w:r w:rsidR="00C95F80" w:rsidRPr="00DE7843">
        <w:rPr>
          <w:rFonts w:ascii="Century Gothic" w:hAnsi="Century Gothic"/>
          <w:sz w:val="21"/>
          <w:szCs w:val="21"/>
        </w:rPr>
        <w:t xml:space="preserve">Between 2006 and 2013 </w:t>
      </w:r>
      <w:r w:rsidR="006335DA" w:rsidRPr="00DE7843">
        <w:rPr>
          <w:rFonts w:ascii="Century Gothic" w:hAnsi="Century Gothic"/>
          <w:sz w:val="21"/>
          <w:szCs w:val="21"/>
        </w:rPr>
        <w:t xml:space="preserve">the percentage of </w:t>
      </w:r>
      <w:proofErr w:type="spellStart"/>
      <w:r w:rsidR="006335DA" w:rsidRPr="00DE7843">
        <w:rPr>
          <w:rFonts w:ascii="Century Gothic" w:hAnsi="Century Gothic"/>
          <w:sz w:val="21"/>
          <w:szCs w:val="21"/>
        </w:rPr>
        <w:t>Ngāi</w:t>
      </w:r>
      <w:proofErr w:type="spellEnd"/>
      <w:r w:rsidR="006335DA" w:rsidRPr="00DE7843">
        <w:rPr>
          <w:rFonts w:ascii="Century Gothic" w:hAnsi="Century Gothic"/>
          <w:sz w:val="21"/>
          <w:szCs w:val="21"/>
        </w:rPr>
        <w:t xml:space="preserve"> </w:t>
      </w:r>
      <w:proofErr w:type="spellStart"/>
      <w:r w:rsidR="006335DA" w:rsidRPr="00DE7843">
        <w:rPr>
          <w:rFonts w:ascii="Century Gothic" w:hAnsi="Century Gothic"/>
          <w:sz w:val="21"/>
          <w:szCs w:val="21"/>
        </w:rPr>
        <w:t>Tāmanuhiri</w:t>
      </w:r>
      <w:proofErr w:type="spellEnd"/>
      <w:r w:rsidR="006335DA" w:rsidRPr="00DE7843">
        <w:rPr>
          <w:rFonts w:ascii="Century Gothic" w:hAnsi="Century Gothic"/>
          <w:sz w:val="21"/>
          <w:szCs w:val="21"/>
        </w:rPr>
        <w:t xml:space="preserve"> engaged in clerical/administrative/sales and labouring/driving/machine operator jobs also decreased. </w:t>
      </w:r>
    </w:p>
    <w:p w14:paraId="10DD2E42" w14:textId="77777777" w:rsidR="00FC54FD" w:rsidRPr="00DE7843" w:rsidRDefault="00FC54FD" w:rsidP="00FC54FD">
      <w:pPr>
        <w:spacing w:after="0" w:line="360" w:lineRule="auto"/>
        <w:rPr>
          <w:rFonts w:ascii="Century Gothic" w:hAnsi="Century Gothic"/>
          <w:sz w:val="21"/>
          <w:szCs w:val="21"/>
        </w:rPr>
      </w:pPr>
    </w:p>
    <w:p w14:paraId="60161B4D" w14:textId="5FDC4146" w:rsidR="00233428" w:rsidRPr="00DE7843" w:rsidRDefault="00C95F80" w:rsidP="00610110">
      <w:pPr>
        <w:spacing w:after="0" w:line="360" w:lineRule="auto"/>
        <w:rPr>
          <w:rFonts w:ascii="Century Gothic" w:hAnsi="Century Gothic"/>
          <w:sz w:val="21"/>
          <w:szCs w:val="21"/>
        </w:rPr>
      </w:pPr>
      <w:r w:rsidRPr="00DE7843">
        <w:rPr>
          <w:rFonts w:ascii="Century Gothic" w:hAnsi="Century Gothic"/>
          <w:sz w:val="21"/>
          <w:szCs w:val="21"/>
        </w:rPr>
        <w:t>Within</w:t>
      </w:r>
      <w:r w:rsidR="00FC54FD" w:rsidRPr="00DE7843">
        <w:rPr>
          <w:rFonts w:ascii="Century Gothic" w:hAnsi="Century Gothic"/>
          <w:sz w:val="21"/>
          <w:szCs w:val="21"/>
        </w:rPr>
        <w:t xml:space="preserve"> </w:t>
      </w:r>
      <w:proofErr w:type="spellStart"/>
      <w:r w:rsidR="00FC54FD" w:rsidRPr="00DE7843">
        <w:rPr>
          <w:rFonts w:ascii="Century Gothic" w:hAnsi="Century Gothic"/>
          <w:sz w:val="21"/>
          <w:szCs w:val="21"/>
        </w:rPr>
        <w:t>Ngāi</w:t>
      </w:r>
      <w:proofErr w:type="spellEnd"/>
      <w:r w:rsidR="00FC54FD" w:rsidRPr="00DE7843">
        <w:rPr>
          <w:rFonts w:ascii="Century Gothic" w:hAnsi="Century Gothic"/>
          <w:sz w:val="21"/>
          <w:szCs w:val="21"/>
        </w:rPr>
        <w:t xml:space="preserve"> </w:t>
      </w:r>
      <w:proofErr w:type="spellStart"/>
      <w:r w:rsidR="00FC54FD" w:rsidRPr="00DE7843">
        <w:rPr>
          <w:rFonts w:ascii="Century Gothic" w:hAnsi="Century Gothic"/>
          <w:sz w:val="21"/>
          <w:szCs w:val="21"/>
        </w:rPr>
        <w:t>Tāmanuhiri</w:t>
      </w:r>
      <w:proofErr w:type="spellEnd"/>
      <w:r w:rsidR="00FC54FD" w:rsidRPr="00DE7843">
        <w:rPr>
          <w:rFonts w:ascii="Century Gothic" w:hAnsi="Century Gothic"/>
          <w:sz w:val="21"/>
          <w:szCs w:val="21"/>
        </w:rPr>
        <w:t xml:space="preserve"> we can see that t</w:t>
      </w:r>
      <w:r w:rsidR="006335DA" w:rsidRPr="00DE7843">
        <w:rPr>
          <w:rFonts w:ascii="Century Gothic" w:hAnsi="Century Gothic"/>
          <w:sz w:val="21"/>
          <w:szCs w:val="21"/>
        </w:rPr>
        <w:t xml:space="preserve">he broad occupational distribution of </w:t>
      </w:r>
      <w:proofErr w:type="spellStart"/>
      <w:r w:rsidRPr="00DE7843">
        <w:rPr>
          <w:rFonts w:ascii="Century Gothic" w:hAnsi="Century Gothic"/>
          <w:sz w:val="21"/>
          <w:szCs w:val="21"/>
        </w:rPr>
        <w:t>Gisborne</w:t>
      </w:r>
      <w:proofErr w:type="spellEnd"/>
      <w:r w:rsidR="006335DA" w:rsidRPr="00DE7843">
        <w:rPr>
          <w:rFonts w:ascii="Century Gothic" w:hAnsi="Century Gothic"/>
          <w:sz w:val="21"/>
          <w:szCs w:val="21"/>
        </w:rPr>
        <w:t xml:space="preserve"> resident</w:t>
      </w:r>
      <w:r w:rsidRPr="00DE7843">
        <w:rPr>
          <w:rFonts w:ascii="Century Gothic" w:hAnsi="Century Gothic"/>
          <w:sz w:val="21"/>
          <w:szCs w:val="21"/>
        </w:rPr>
        <w:t>s</w:t>
      </w:r>
      <w:r w:rsidR="006335DA" w:rsidRPr="00DE7843">
        <w:rPr>
          <w:rFonts w:ascii="Century Gothic" w:hAnsi="Century Gothic"/>
          <w:sz w:val="21"/>
          <w:szCs w:val="21"/>
        </w:rPr>
        <w:t xml:space="preserve"> (Figure 5.2) was</w:t>
      </w:r>
      <w:r w:rsidR="00FC54FD" w:rsidRPr="00DE7843">
        <w:rPr>
          <w:rFonts w:ascii="Century Gothic" w:hAnsi="Century Gothic"/>
          <w:sz w:val="21"/>
          <w:szCs w:val="21"/>
        </w:rPr>
        <w:t xml:space="preserve"> very similar to that of the </w:t>
      </w:r>
      <w:proofErr w:type="spellStart"/>
      <w:r w:rsidR="00FC54FD" w:rsidRPr="00DE7843">
        <w:rPr>
          <w:rFonts w:ascii="Century Gothic" w:hAnsi="Century Gothic"/>
          <w:sz w:val="21"/>
          <w:szCs w:val="21"/>
        </w:rPr>
        <w:t>Ngāi</w:t>
      </w:r>
      <w:proofErr w:type="spellEnd"/>
      <w:r w:rsidR="00FC54FD" w:rsidRPr="00DE7843">
        <w:rPr>
          <w:rFonts w:ascii="Century Gothic" w:hAnsi="Century Gothic"/>
          <w:sz w:val="21"/>
          <w:szCs w:val="21"/>
        </w:rPr>
        <w:t xml:space="preserve"> </w:t>
      </w:r>
      <w:proofErr w:type="spellStart"/>
      <w:r w:rsidR="00FC54FD" w:rsidRPr="00DE7843">
        <w:rPr>
          <w:rFonts w:ascii="Century Gothic" w:hAnsi="Century Gothic"/>
          <w:sz w:val="21"/>
          <w:szCs w:val="21"/>
        </w:rPr>
        <w:t>Tāmanuhiri</w:t>
      </w:r>
      <w:proofErr w:type="spellEnd"/>
      <w:r w:rsidR="006335DA" w:rsidRPr="00DE7843">
        <w:rPr>
          <w:rFonts w:ascii="Century Gothic" w:hAnsi="Century Gothic"/>
          <w:sz w:val="21"/>
          <w:szCs w:val="21"/>
        </w:rPr>
        <w:t xml:space="preserve"> nationally. </w:t>
      </w:r>
      <w:r w:rsidR="00FC54FD" w:rsidRPr="00DE7843">
        <w:rPr>
          <w:rFonts w:ascii="Century Gothic" w:hAnsi="Century Gothic"/>
          <w:sz w:val="21"/>
          <w:szCs w:val="21"/>
        </w:rPr>
        <w:t>However there were major gender differences</w:t>
      </w:r>
      <w:r w:rsidR="00CB4209" w:rsidRPr="00DE7843">
        <w:rPr>
          <w:rFonts w:ascii="Century Gothic" w:hAnsi="Century Gothic"/>
          <w:sz w:val="21"/>
          <w:szCs w:val="21"/>
        </w:rPr>
        <w:t>,</w:t>
      </w:r>
      <w:r w:rsidR="00FC54FD" w:rsidRPr="00DE7843">
        <w:rPr>
          <w:rFonts w:ascii="Century Gothic" w:hAnsi="Century Gothic"/>
          <w:sz w:val="21"/>
          <w:szCs w:val="21"/>
        </w:rPr>
        <w:t xml:space="preserve"> with </w:t>
      </w:r>
      <w:proofErr w:type="spellStart"/>
      <w:r w:rsidR="00FC54FD" w:rsidRPr="00DE7843">
        <w:rPr>
          <w:rFonts w:ascii="Century Gothic" w:hAnsi="Century Gothic"/>
          <w:sz w:val="21"/>
          <w:szCs w:val="21"/>
        </w:rPr>
        <w:t>Ngāi</w:t>
      </w:r>
      <w:proofErr w:type="spellEnd"/>
      <w:r w:rsidR="00FC54FD" w:rsidRPr="00DE7843">
        <w:rPr>
          <w:rFonts w:ascii="Century Gothic" w:hAnsi="Century Gothic"/>
          <w:sz w:val="21"/>
          <w:szCs w:val="21"/>
        </w:rPr>
        <w:t xml:space="preserve"> </w:t>
      </w:r>
      <w:proofErr w:type="spellStart"/>
      <w:r w:rsidR="00FC54FD" w:rsidRPr="00DE7843">
        <w:rPr>
          <w:rFonts w:ascii="Century Gothic" w:hAnsi="Century Gothic"/>
          <w:sz w:val="21"/>
          <w:szCs w:val="21"/>
        </w:rPr>
        <w:t>Tāmanuhiri</w:t>
      </w:r>
      <w:proofErr w:type="spellEnd"/>
      <w:r w:rsidR="00FC54FD" w:rsidRPr="00DE7843">
        <w:rPr>
          <w:rFonts w:ascii="Century Gothic" w:hAnsi="Century Gothic"/>
          <w:sz w:val="21"/>
          <w:szCs w:val="21"/>
        </w:rPr>
        <w:t xml:space="preserve"> women far more likely than men to be managers and professionals (44.7 vs 35</w:t>
      </w:r>
      <w:r w:rsidR="00CB4209" w:rsidRPr="00DE7843">
        <w:rPr>
          <w:rFonts w:ascii="Century Gothic" w:hAnsi="Century Gothic"/>
          <w:sz w:val="21"/>
          <w:szCs w:val="21"/>
        </w:rPr>
        <w:t>.6 per cent, see F</w:t>
      </w:r>
      <w:r w:rsidR="00FC54FD" w:rsidRPr="00DE7843">
        <w:rPr>
          <w:rFonts w:ascii="Century Gothic" w:hAnsi="Century Gothic"/>
          <w:sz w:val="21"/>
          <w:szCs w:val="21"/>
        </w:rPr>
        <w:t>igure 5.3).</w:t>
      </w:r>
      <w:r w:rsidR="00CB4209" w:rsidRPr="00DE7843">
        <w:rPr>
          <w:rFonts w:ascii="Century Gothic" w:hAnsi="Century Gothic"/>
          <w:sz w:val="21"/>
          <w:szCs w:val="21"/>
        </w:rPr>
        <w:t xml:space="preserve"> </w:t>
      </w:r>
    </w:p>
    <w:p w14:paraId="640722B8" w14:textId="77777777" w:rsidR="0065189F" w:rsidRPr="00DE7843" w:rsidRDefault="0065189F" w:rsidP="00C95F80">
      <w:pPr>
        <w:spacing w:after="0" w:line="360" w:lineRule="auto"/>
        <w:rPr>
          <w:rFonts w:ascii="Century Gothic" w:hAnsi="Century Gothic"/>
          <w:sz w:val="21"/>
          <w:szCs w:val="21"/>
        </w:rPr>
      </w:pPr>
    </w:p>
    <w:p w14:paraId="00CBD838" w14:textId="77777777" w:rsidR="0065189F" w:rsidRPr="00DE7843" w:rsidRDefault="0065189F" w:rsidP="00C95F80">
      <w:pPr>
        <w:spacing w:after="0" w:line="360" w:lineRule="auto"/>
        <w:rPr>
          <w:rFonts w:ascii="Century Gothic" w:hAnsi="Century Gothic"/>
          <w:sz w:val="21"/>
          <w:szCs w:val="21"/>
        </w:rPr>
      </w:pPr>
    </w:p>
    <w:p w14:paraId="27329AFC" w14:textId="77777777" w:rsidR="0065189F" w:rsidRPr="00480CC3" w:rsidRDefault="0065189F" w:rsidP="00C95F80">
      <w:pPr>
        <w:spacing w:after="0" w:line="360" w:lineRule="auto"/>
        <w:rPr>
          <w:rFonts w:ascii="Century Gothic" w:hAnsi="Century Gothic"/>
          <w:color w:val="44546A"/>
          <w:sz w:val="21"/>
          <w:szCs w:val="21"/>
        </w:rPr>
      </w:pPr>
    </w:p>
    <w:p w14:paraId="7B5BD6B4" w14:textId="448C7EB9" w:rsidR="00D144BC" w:rsidRPr="00480CC3" w:rsidRDefault="00D144BC" w:rsidP="00480CC3">
      <w:pPr>
        <w:spacing w:after="0" w:line="360" w:lineRule="auto"/>
        <w:rPr>
          <w:rFonts w:ascii="Century Gothic" w:hAnsi="Century Gothic"/>
          <w:b/>
          <w:bCs/>
          <w:color w:val="44546A"/>
          <w:sz w:val="21"/>
          <w:szCs w:val="21"/>
        </w:rPr>
      </w:pPr>
    </w:p>
    <w:p w14:paraId="623240C3" w14:textId="3691AAF2" w:rsidR="0053454F" w:rsidRPr="00DF212D" w:rsidRDefault="0065189F" w:rsidP="004D7F3D">
      <w:pPr>
        <w:spacing w:after="0" w:line="276" w:lineRule="auto"/>
        <w:rPr>
          <w:rFonts w:ascii="Century Gothic" w:eastAsiaTheme="majorEastAsia" w:hAnsi="Century Gothic" w:cstheme="majorBidi"/>
          <w:b/>
          <w:bCs/>
          <w:color w:val="4EAFC6"/>
          <w:sz w:val="21"/>
          <w:szCs w:val="21"/>
          <w:lang w:eastAsia="en-US"/>
        </w:rPr>
      </w:pPr>
      <w:bookmarkStart w:id="49" w:name="_Toc491783085"/>
      <w:r w:rsidRPr="001F681F">
        <w:rPr>
          <w:noProof/>
        </w:rPr>
        <w:lastRenderedPageBreak/>
        <w:drawing>
          <wp:anchor distT="0" distB="0" distL="114300" distR="114300" simplePos="0" relativeHeight="252360704" behindDoc="1" locked="0" layoutInCell="1" allowOverlap="1" wp14:anchorId="471F56B5" wp14:editId="69E70CBE">
            <wp:simplePos x="0" y="0"/>
            <wp:positionH relativeFrom="margin">
              <wp:align>left</wp:align>
            </wp:positionH>
            <wp:positionV relativeFrom="paragraph">
              <wp:posOffset>449110</wp:posOffset>
            </wp:positionV>
            <wp:extent cx="6224400" cy="2714400"/>
            <wp:effectExtent l="0" t="0" r="5080" b="0"/>
            <wp:wrapTight wrapText="bothSides">
              <wp:wrapPolygon edited="0">
                <wp:start x="0" y="0"/>
                <wp:lineTo x="0" y="21378"/>
                <wp:lineTo x="21552" y="21378"/>
                <wp:lineTo x="215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224400" cy="27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454F" w:rsidRPr="00DF212D">
        <w:rPr>
          <w:rFonts w:ascii="Century Gothic" w:hAnsi="Century Gothic"/>
          <w:b/>
          <w:bCs/>
          <w:color w:val="44546A"/>
          <w:sz w:val="20"/>
          <w:szCs w:val="20"/>
        </w:rPr>
        <w:t xml:space="preserve">Figure </w:t>
      </w:r>
      <w:r w:rsidR="0053454F">
        <w:rPr>
          <w:rFonts w:ascii="Century Gothic" w:hAnsi="Century Gothic"/>
          <w:b/>
          <w:bCs/>
          <w:color w:val="44546A"/>
          <w:sz w:val="20"/>
          <w:szCs w:val="20"/>
        </w:rPr>
        <w:fldChar w:fldCharType="begin"/>
      </w:r>
      <w:r w:rsidR="0053454F" w:rsidRPr="00DF212D">
        <w:rPr>
          <w:rFonts w:ascii="Century Gothic" w:hAnsi="Century Gothic"/>
          <w:b/>
          <w:bCs/>
          <w:color w:val="44546A"/>
          <w:sz w:val="20"/>
          <w:szCs w:val="20"/>
        </w:rPr>
        <w:instrText xml:space="preserve"> STYLEREF 1 \s </w:instrText>
      </w:r>
      <w:r w:rsidR="0053454F">
        <w:rPr>
          <w:rFonts w:ascii="Century Gothic" w:hAnsi="Century Gothic"/>
          <w:b/>
          <w:bCs/>
          <w:color w:val="44546A"/>
          <w:sz w:val="20"/>
          <w:szCs w:val="20"/>
        </w:rPr>
        <w:fldChar w:fldCharType="separate"/>
      </w:r>
      <w:r w:rsidR="001470A9">
        <w:rPr>
          <w:rFonts w:ascii="Century Gothic" w:hAnsi="Century Gothic" w:hint="cs"/>
          <w:b/>
          <w:bCs/>
          <w:noProof/>
          <w:color w:val="44546A"/>
          <w:sz w:val="20"/>
          <w:szCs w:val="20"/>
          <w:cs/>
        </w:rPr>
        <w:t>‎</w:t>
      </w:r>
      <w:r w:rsidR="001470A9">
        <w:rPr>
          <w:rFonts w:ascii="Century Gothic" w:hAnsi="Century Gothic"/>
          <w:b/>
          <w:bCs/>
          <w:noProof/>
          <w:color w:val="44546A"/>
          <w:sz w:val="20"/>
          <w:szCs w:val="20"/>
        </w:rPr>
        <w:t>5</w:t>
      </w:r>
      <w:r w:rsidR="0053454F">
        <w:rPr>
          <w:rFonts w:ascii="Century Gothic" w:hAnsi="Century Gothic"/>
          <w:b/>
          <w:bCs/>
          <w:color w:val="44546A"/>
          <w:sz w:val="20"/>
          <w:szCs w:val="20"/>
        </w:rPr>
        <w:fldChar w:fldCharType="end"/>
      </w:r>
      <w:r w:rsidR="0053454F" w:rsidRPr="00DF212D">
        <w:rPr>
          <w:rFonts w:ascii="Century Gothic" w:hAnsi="Century Gothic"/>
          <w:b/>
          <w:bCs/>
          <w:color w:val="44546A"/>
          <w:sz w:val="20"/>
          <w:szCs w:val="20"/>
        </w:rPr>
        <w:t>.</w:t>
      </w:r>
      <w:r w:rsidR="0053454F">
        <w:rPr>
          <w:rFonts w:ascii="Century Gothic" w:hAnsi="Century Gothic"/>
          <w:b/>
          <w:bCs/>
          <w:color w:val="44546A"/>
          <w:sz w:val="20"/>
          <w:szCs w:val="20"/>
        </w:rPr>
        <w:fldChar w:fldCharType="begin"/>
      </w:r>
      <w:r w:rsidR="0053454F" w:rsidRPr="00DF212D">
        <w:rPr>
          <w:rFonts w:ascii="Century Gothic" w:hAnsi="Century Gothic"/>
          <w:b/>
          <w:bCs/>
          <w:color w:val="44546A"/>
          <w:sz w:val="20"/>
          <w:szCs w:val="20"/>
        </w:rPr>
        <w:instrText xml:space="preserve"> SEQ Figure \* ARABIC \s 1 </w:instrText>
      </w:r>
      <w:r w:rsidR="0053454F">
        <w:rPr>
          <w:rFonts w:ascii="Century Gothic" w:hAnsi="Century Gothic"/>
          <w:b/>
          <w:bCs/>
          <w:color w:val="44546A"/>
          <w:sz w:val="20"/>
          <w:szCs w:val="20"/>
        </w:rPr>
        <w:fldChar w:fldCharType="separate"/>
      </w:r>
      <w:r w:rsidR="001470A9">
        <w:rPr>
          <w:rFonts w:ascii="Century Gothic" w:hAnsi="Century Gothic"/>
          <w:b/>
          <w:bCs/>
          <w:noProof/>
          <w:color w:val="44546A"/>
          <w:sz w:val="20"/>
          <w:szCs w:val="20"/>
        </w:rPr>
        <w:t>1</w:t>
      </w:r>
      <w:r w:rsidR="0053454F">
        <w:rPr>
          <w:rFonts w:ascii="Century Gothic" w:hAnsi="Century Gothic"/>
          <w:b/>
          <w:bCs/>
          <w:color w:val="44546A"/>
          <w:sz w:val="20"/>
          <w:szCs w:val="20"/>
        </w:rPr>
        <w:fldChar w:fldCharType="end"/>
      </w:r>
      <w:r w:rsidR="0053454F" w:rsidRPr="00DF212D">
        <w:rPr>
          <w:rFonts w:ascii="Century Gothic" w:hAnsi="Century Gothic"/>
          <w:b/>
          <w:bCs/>
          <w:color w:val="44546A"/>
          <w:sz w:val="20"/>
          <w:szCs w:val="20"/>
        </w:rPr>
        <w:t xml:space="preserve"> </w:t>
      </w:r>
      <w:r w:rsidR="006335DA">
        <w:rPr>
          <w:rFonts w:ascii="Century Gothic" w:hAnsi="Century Gothic"/>
          <w:b/>
          <w:bCs/>
          <w:color w:val="44546A"/>
          <w:sz w:val="20"/>
          <w:szCs w:val="20"/>
        </w:rPr>
        <w:t xml:space="preserve">Broad occupational grouping of </w:t>
      </w:r>
      <w:proofErr w:type="spellStart"/>
      <w:r w:rsidR="008B1B8A">
        <w:rPr>
          <w:rFonts w:ascii="Century Gothic" w:hAnsi="Century Gothic"/>
          <w:b/>
          <w:bCs/>
          <w:color w:val="44546A"/>
          <w:sz w:val="20"/>
          <w:szCs w:val="20"/>
        </w:rPr>
        <w:t>Ngāi</w:t>
      </w:r>
      <w:proofErr w:type="spellEnd"/>
      <w:r w:rsidR="0053454F" w:rsidRPr="00DF212D">
        <w:rPr>
          <w:rFonts w:ascii="Century Gothic" w:hAnsi="Century Gothic"/>
          <w:b/>
          <w:bCs/>
          <w:color w:val="44546A"/>
          <w:sz w:val="20"/>
          <w:szCs w:val="20"/>
        </w:rPr>
        <w:t xml:space="preserve"> </w:t>
      </w:r>
      <w:proofErr w:type="spellStart"/>
      <w:r w:rsidR="0053454F" w:rsidRPr="00DF212D">
        <w:rPr>
          <w:rFonts w:ascii="Century Gothic" w:hAnsi="Century Gothic"/>
          <w:b/>
          <w:bCs/>
          <w:color w:val="44546A"/>
          <w:sz w:val="20"/>
          <w:szCs w:val="20"/>
        </w:rPr>
        <w:t>Tāmanuhiri</w:t>
      </w:r>
      <w:proofErr w:type="spellEnd"/>
      <w:r w:rsidR="006335DA">
        <w:rPr>
          <w:rFonts w:ascii="Century Gothic" w:hAnsi="Century Gothic"/>
          <w:b/>
          <w:bCs/>
          <w:color w:val="44546A"/>
          <w:sz w:val="20"/>
          <w:szCs w:val="20"/>
        </w:rPr>
        <w:t xml:space="preserve"> </w:t>
      </w:r>
      <w:r w:rsidR="001F681F">
        <w:rPr>
          <w:rFonts w:ascii="Century Gothic" w:hAnsi="Century Gothic"/>
          <w:b/>
          <w:bCs/>
          <w:color w:val="44546A"/>
          <w:sz w:val="20"/>
          <w:szCs w:val="20"/>
        </w:rPr>
        <w:t>and the M</w:t>
      </w:r>
      <w:r w:rsidR="004D7F3D">
        <w:rPr>
          <w:rFonts w:ascii="Century Gothic" w:hAnsi="Century Gothic"/>
          <w:b/>
          <w:bCs/>
          <w:color w:val="44546A"/>
          <w:sz w:val="20"/>
          <w:szCs w:val="20"/>
        </w:rPr>
        <w:t>ā</w:t>
      </w:r>
      <w:r w:rsidR="001F681F">
        <w:rPr>
          <w:rFonts w:ascii="Century Gothic" w:hAnsi="Century Gothic"/>
          <w:b/>
          <w:bCs/>
          <w:color w:val="44546A"/>
          <w:sz w:val="20"/>
          <w:szCs w:val="20"/>
        </w:rPr>
        <w:t>ori descent population</w:t>
      </w:r>
      <w:r w:rsidR="0053454F">
        <w:rPr>
          <w:rFonts w:ascii="Century Gothic" w:hAnsi="Century Gothic"/>
          <w:b/>
          <w:bCs/>
          <w:color w:val="44546A"/>
          <w:sz w:val="20"/>
          <w:szCs w:val="20"/>
        </w:rPr>
        <w:t xml:space="preserve">; </w:t>
      </w:r>
      <w:r w:rsidR="006335DA">
        <w:rPr>
          <w:rFonts w:ascii="Century Gothic" w:hAnsi="Century Gothic"/>
          <w:b/>
          <w:bCs/>
          <w:color w:val="44546A"/>
          <w:sz w:val="20"/>
          <w:szCs w:val="20"/>
        </w:rPr>
        <w:t xml:space="preserve">adults aged 15+ years; </w:t>
      </w:r>
      <w:r w:rsidR="0053454F">
        <w:rPr>
          <w:rFonts w:ascii="Century Gothic" w:hAnsi="Century Gothic"/>
          <w:b/>
          <w:bCs/>
          <w:color w:val="44546A"/>
          <w:sz w:val="20"/>
          <w:szCs w:val="20"/>
        </w:rPr>
        <w:t>2006 and 2013 Censuses</w:t>
      </w:r>
      <w:bookmarkEnd w:id="49"/>
    </w:p>
    <w:p w14:paraId="075F2FF9" w14:textId="675FDA85" w:rsidR="0065189F" w:rsidRDefault="0065189F" w:rsidP="0053454F">
      <w:pPr>
        <w:spacing w:after="0" w:line="276" w:lineRule="auto"/>
        <w:rPr>
          <w:rFonts w:ascii="Century Gothic" w:hAnsi="Century Gothic"/>
          <w:b/>
          <w:bCs/>
          <w:color w:val="44546A"/>
          <w:sz w:val="20"/>
          <w:szCs w:val="20"/>
        </w:rPr>
      </w:pPr>
    </w:p>
    <w:p w14:paraId="0246E41F" w14:textId="77777777" w:rsidR="004D7F3D" w:rsidRDefault="004D7F3D" w:rsidP="0053454F">
      <w:pPr>
        <w:spacing w:after="0" w:line="276" w:lineRule="auto"/>
        <w:rPr>
          <w:rFonts w:ascii="Century Gothic" w:hAnsi="Century Gothic"/>
          <w:b/>
          <w:bCs/>
          <w:color w:val="44546A"/>
          <w:sz w:val="20"/>
          <w:szCs w:val="20"/>
        </w:rPr>
      </w:pPr>
    </w:p>
    <w:p w14:paraId="3CEB5B12" w14:textId="030254B5" w:rsidR="0053454F" w:rsidRDefault="0053454F" w:rsidP="004D7F3D">
      <w:pPr>
        <w:spacing w:after="0" w:line="360" w:lineRule="auto"/>
        <w:rPr>
          <w:rFonts w:ascii="Century Gothic" w:hAnsi="Century Gothic"/>
          <w:b/>
          <w:bCs/>
          <w:color w:val="44546A"/>
          <w:sz w:val="20"/>
          <w:szCs w:val="20"/>
        </w:rPr>
      </w:pPr>
    </w:p>
    <w:p w14:paraId="15AC1E17" w14:textId="291F8C7E" w:rsidR="00FC54FD" w:rsidRDefault="00FC54FD" w:rsidP="00FC54FD">
      <w:pPr>
        <w:spacing w:after="0" w:line="276" w:lineRule="auto"/>
        <w:rPr>
          <w:rFonts w:ascii="Century Gothic" w:hAnsi="Century Gothic"/>
          <w:b/>
          <w:bCs/>
          <w:color w:val="44546A"/>
          <w:sz w:val="20"/>
          <w:szCs w:val="20"/>
        </w:rPr>
      </w:pPr>
      <w:bookmarkStart w:id="50" w:name="_Toc491783086"/>
      <w:r w:rsidRPr="001F681F">
        <w:rPr>
          <w:noProof/>
        </w:rPr>
        <w:drawing>
          <wp:anchor distT="0" distB="0" distL="114300" distR="114300" simplePos="0" relativeHeight="252372992" behindDoc="1" locked="0" layoutInCell="1" allowOverlap="1" wp14:anchorId="070B0B9C" wp14:editId="4DC91C70">
            <wp:simplePos x="0" y="0"/>
            <wp:positionH relativeFrom="column">
              <wp:posOffset>-4777</wp:posOffset>
            </wp:positionH>
            <wp:positionV relativeFrom="paragraph">
              <wp:posOffset>472771</wp:posOffset>
            </wp:positionV>
            <wp:extent cx="6220800" cy="2574000"/>
            <wp:effectExtent l="0" t="0" r="8890" b="0"/>
            <wp:wrapTight wrapText="bothSides">
              <wp:wrapPolygon edited="0">
                <wp:start x="0" y="0"/>
                <wp:lineTo x="0" y="21424"/>
                <wp:lineTo x="21565" y="21424"/>
                <wp:lineTo x="2156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220800" cy="257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212D">
        <w:rPr>
          <w:rFonts w:ascii="Century Gothic" w:hAnsi="Century Gothic"/>
          <w:b/>
          <w:bCs/>
          <w:color w:val="44546A"/>
          <w:sz w:val="20"/>
          <w:szCs w:val="20"/>
        </w:rPr>
        <w:t xml:space="preserve">Figure </w:t>
      </w:r>
      <w:r>
        <w:rPr>
          <w:rFonts w:ascii="Century Gothic" w:hAnsi="Century Gothic"/>
          <w:b/>
          <w:bCs/>
          <w:color w:val="44546A"/>
          <w:sz w:val="20"/>
          <w:szCs w:val="20"/>
        </w:rPr>
        <w:fldChar w:fldCharType="begin"/>
      </w:r>
      <w:r w:rsidRPr="00DF212D">
        <w:rPr>
          <w:rFonts w:ascii="Century Gothic" w:hAnsi="Century Gothic"/>
          <w:b/>
          <w:bCs/>
          <w:color w:val="44546A"/>
          <w:sz w:val="20"/>
          <w:szCs w:val="20"/>
        </w:rPr>
        <w:instrText xml:space="preserve"> STYLEREF 1 \s </w:instrText>
      </w:r>
      <w:r>
        <w:rPr>
          <w:rFonts w:ascii="Century Gothic" w:hAnsi="Century Gothic"/>
          <w:b/>
          <w:bCs/>
          <w:color w:val="44546A"/>
          <w:sz w:val="20"/>
          <w:szCs w:val="20"/>
        </w:rPr>
        <w:fldChar w:fldCharType="separate"/>
      </w:r>
      <w:r w:rsidR="001470A9">
        <w:rPr>
          <w:rFonts w:ascii="Century Gothic" w:hAnsi="Century Gothic" w:hint="cs"/>
          <w:b/>
          <w:bCs/>
          <w:noProof/>
          <w:color w:val="44546A"/>
          <w:sz w:val="20"/>
          <w:szCs w:val="20"/>
          <w:cs/>
        </w:rPr>
        <w:t>‎</w:t>
      </w:r>
      <w:r w:rsidR="001470A9">
        <w:rPr>
          <w:rFonts w:ascii="Century Gothic" w:hAnsi="Century Gothic"/>
          <w:b/>
          <w:bCs/>
          <w:noProof/>
          <w:color w:val="44546A"/>
          <w:sz w:val="20"/>
          <w:szCs w:val="20"/>
        </w:rPr>
        <w:t>5</w:t>
      </w:r>
      <w:r>
        <w:rPr>
          <w:rFonts w:ascii="Century Gothic" w:hAnsi="Century Gothic"/>
          <w:b/>
          <w:bCs/>
          <w:color w:val="44546A"/>
          <w:sz w:val="20"/>
          <w:szCs w:val="20"/>
        </w:rPr>
        <w:fldChar w:fldCharType="end"/>
      </w:r>
      <w:r w:rsidRPr="00DF212D">
        <w:rPr>
          <w:rFonts w:ascii="Century Gothic" w:hAnsi="Century Gothic"/>
          <w:b/>
          <w:bCs/>
          <w:color w:val="44546A"/>
          <w:sz w:val="20"/>
          <w:szCs w:val="20"/>
        </w:rPr>
        <w:t>.</w:t>
      </w:r>
      <w:r>
        <w:rPr>
          <w:rFonts w:ascii="Century Gothic" w:hAnsi="Century Gothic"/>
          <w:b/>
          <w:bCs/>
          <w:color w:val="44546A"/>
          <w:sz w:val="20"/>
          <w:szCs w:val="20"/>
        </w:rPr>
        <w:fldChar w:fldCharType="begin"/>
      </w:r>
      <w:r w:rsidRPr="00DF212D">
        <w:rPr>
          <w:rFonts w:ascii="Century Gothic" w:hAnsi="Century Gothic"/>
          <w:b/>
          <w:bCs/>
          <w:color w:val="44546A"/>
          <w:sz w:val="20"/>
          <w:szCs w:val="20"/>
        </w:rPr>
        <w:instrText xml:space="preserve"> SEQ Figure \* ARABIC \s 1 </w:instrText>
      </w:r>
      <w:r>
        <w:rPr>
          <w:rFonts w:ascii="Century Gothic" w:hAnsi="Century Gothic"/>
          <w:b/>
          <w:bCs/>
          <w:color w:val="44546A"/>
          <w:sz w:val="20"/>
          <w:szCs w:val="20"/>
        </w:rPr>
        <w:fldChar w:fldCharType="separate"/>
      </w:r>
      <w:r w:rsidR="001470A9">
        <w:rPr>
          <w:rFonts w:ascii="Century Gothic" w:hAnsi="Century Gothic"/>
          <w:b/>
          <w:bCs/>
          <w:noProof/>
          <w:color w:val="44546A"/>
          <w:sz w:val="20"/>
          <w:szCs w:val="20"/>
        </w:rPr>
        <w:t>2</w:t>
      </w:r>
      <w:r>
        <w:rPr>
          <w:rFonts w:ascii="Century Gothic" w:hAnsi="Century Gothic"/>
          <w:b/>
          <w:bCs/>
          <w:color w:val="44546A"/>
          <w:sz w:val="20"/>
          <w:szCs w:val="20"/>
        </w:rPr>
        <w:fldChar w:fldCharType="end"/>
      </w:r>
      <w:r w:rsidRPr="00DF212D">
        <w:rPr>
          <w:rFonts w:ascii="Century Gothic" w:hAnsi="Century Gothic"/>
          <w:b/>
          <w:bCs/>
          <w:color w:val="44546A"/>
          <w:sz w:val="20"/>
          <w:szCs w:val="20"/>
        </w:rPr>
        <w:t xml:space="preserve"> </w:t>
      </w:r>
      <w:r>
        <w:rPr>
          <w:rFonts w:ascii="Century Gothic" w:hAnsi="Century Gothic"/>
          <w:b/>
          <w:bCs/>
          <w:color w:val="44546A"/>
          <w:sz w:val="20"/>
          <w:szCs w:val="20"/>
        </w:rPr>
        <w:t xml:space="preserve">Broad occupational grouping of </w:t>
      </w:r>
      <w:proofErr w:type="spellStart"/>
      <w:r>
        <w:rPr>
          <w:rFonts w:ascii="Century Gothic" w:hAnsi="Century Gothic"/>
          <w:b/>
          <w:bCs/>
          <w:color w:val="44546A"/>
          <w:sz w:val="20"/>
          <w:szCs w:val="20"/>
        </w:rPr>
        <w:t>Ngāi</w:t>
      </w:r>
      <w:proofErr w:type="spellEnd"/>
      <w:r w:rsidRPr="00DF212D">
        <w:rPr>
          <w:rFonts w:ascii="Century Gothic" w:hAnsi="Century Gothic"/>
          <w:b/>
          <w:bCs/>
          <w:color w:val="44546A"/>
          <w:sz w:val="20"/>
          <w:szCs w:val="20"/>
        </w:rPr>
        <w:t xml:space="preserve"> </w:t>
      </w:r>
      <w:proofErr w:type="spellStart"/>
      <w:r w:rsidRPr="00DF212D">
        <w:rPr>
          <w:rFonts w:ascii="Century Gothic" w:hAnsi="Century Gothic"/>
          <w:b/>
          <w:bCs/>
          <w:color w:val="44546A"/>
          <w:sz w:val="20"/>
          <w:szCs w:val="20"/>
        </w:rPr>
        <w:t>Tāmanuhiri</w:t>
      </w:r>
      <w:proofErr w:type="spellEnd"/>
      <w:r>
        <w:rPr>
          <w:rFonts w:ascii="Century Gothic" w:hAnsi="Century Gothic"/>
          <w:b/>
          <w:bCs/>
          <w:color w:val="44546A"/>
          <w:sz w:val="20"/>
          <w:szCs w:val="20"/>
        </w:rPr>
        <w:t xml:space="preserve"> and the Māori descent population disaggregated by sex; Broad occupational grouping; 2013 Census</w:t>
      </w:r>
      <w:bookmarkEnd w:id="50"/>
    </w:p>
    <w:p w14:paraId="3B43413F" w14:textId="77777777" w:rsidR="0053454F" w:rsidRDefault="0053454F" w:rsidP="0053454F">
      <w:pPr>
        <w:spacing w:after="0" w:line="276" w:lineRule="auto"/>
        <w:rPr>
          <w:rFonts w:ascii="Century Gothic" w:hAnsi="Century Gothic"/>
          <w:b/>
          <w:bCs/>
          <w:color w:val="44546A"/>
          <w:sz w:val="20"/>
          <w:szCs w:val="20"/>
        </w:rPr>
      </w:pPr>
    </w:p>
    <w:p w14:paraId="5FE0D347" w14:textId="77777777" w:rsidR="0065189F" w:rsidRDefault="0065189F" w:rsidP="0053454F">
      <w:pPr>
        <w:spacing w:after="0" w:line="276" w:lineRule="auto"/>
        <w:rPr>
          <w:rFonts w:ascii="Century Gothic" w:hAnsi="Century Gothic"/>
          <w:b/>
          <w:bCs/>
          <w:color w:val="44546A"/>
          <w:sz w:val="20"/>
          <w:szCs w:val="20"/>
        </w:rPr>
      </w:pPr>
    </w:p>
    <w:p w14:paraId="0A212836" w14:textId="31E78FC9" w:rsidR="0065189F" w:rsidRDefault="0065189F" w:rsidP="00457CAC">
      <w:pPr>
        <w:spacing w:after="0" w:line="276" w:lineRule="auto"/>
        <w:rPr>
          <w:rFonts w:ascii="Century Gothic" w:hAnsi="Century Gothic"/>
          <w:b/>
          <w:bCs/>
          <w:color w:val="44546A"/>
          <w:sz w:val="20"/>
          <w:szCs w:val="20"/>
        </w:rPr>
      </w:pPr>
    </w:p>
    <w:p w14:paraId="351056C4" w14:textId="77777777" w:rsidR="0065189F" w:rsidRDefault="0065189F" w:rsidP="0053454F">
      <w:pPr>
        <w:spacing w:after="0" w:line="276" w:lineRule="auto"/>
        <w:rPr>
          <w:rFonts w:ascii="Century Gothic" w:hAnsi="Century Gothic"/>
          <w:b/>
          <w:bCs/>
          <w:color w:val="44546A"/>
          <w:sz w:val="20"/>
          <w:szCs w:val="20"/>
        </w:rPr>
      </w:pPr>
    </w:p>
    <w:p w14:paraId="4EDD6B0E" w14:textId="77777777" w:rsidR="0065189F" w:rsidRDefault="0065189F" w:rsidP="0053454F">
      <w:pPr>
        <w:spacing w:after="0" w:line="276" w:lineRule="auto"/>
        <w:rPr>
          <w:rFonts w:ascii="Century Gothic" w:hAnsi="Century Gothic"/>
          <w:b/>
          <w:bCs/>
          <w:color w:val="44546A"/>
          <w:sz w:val="20"/>
          <w:szCs w:val="20"/>
        </w:rPr>
      </w:pPr>
    </w:p>
    <w:p w14:paraId="1F60C75D" w14:textId="77777777" w:rsidR="0065189F" w:rsidRDefault="0065189F" w:rsidP="0053454F">
      <w:pPr>
        <w:spacing w:after="0" w:line="276" w:lineRule="auto"/>
        <w:rPr>
          <w:rFonts w:ascii="Century Gothic" w:hAnsi="Century Gothic"/>
          <w:b/>
          <w:bCs/>
          <w:color w:val="44546A"/>
          <w:sz w:val="20"/>
          <w:szCs w:val="20"/>
        </w:rPr>
      </w:pPr>
    </w:p>
    <w:p w14:paraId="5ECCF501" w14:textId="77777777" w:rsidR="0065189F" w:rsidRDefault="0065189F" w:rsidP="0053454F">
      <w:pPr>
        <w:spacing w:after="0" w:line="276" w:lineRule="auto"/>
        <w:rPr>
          <w:rFonts w:ascii="Century Gothic" w:hAnsi="Century Gothic"/>
          <w:b/>
          <w:bCs/>
          <w:color w:val="44546A"/>
          <w:sz w:val="20"/>
          <w:szCs w:val="20"/>
        </w:rPr>
      </w:pPr>
    </w:p>
    <w:p w14:paraId="77E0065F" w14:textId="77777777" w:rsidR="0065189F" w:rsidRDefault="0065189F" w:rsidP="0053454F">
      <w:pPr>
        <w:spacing w:after="0" w:line="276" w:lineRule="auto"/>
        <w:rPr>
          <w:rFonts w:ascii="Century Gothic" w:hAnsi="Century Gothic"/>
          <w:b/>
          <w:bCs/>
          <w:color w:val="44546A"/>
          <w:sz w:val="20"/>
          <w:szCs w:val="20"/>
        </w:rPr>
      </w:pPr>
    </w:p>
    <w:p w14:paraId="686150A3" w14:textId="77777777" w:rsidR="0065189F" w:rsidRDefault="0065189F" w:rsidP="0053454F">
      <w:pPr>
        <w:spacing w:after="0" w:line="276" w:lineRule="auto"/>
        <w:rPr>
          <w:rFonts w:ascii="Century Gothic" w:hAnsi="Century Gothic"/>
          <w:b/>
          <w:bCs/>
          <w:color w:val="44546A"/>
          <w:sz w:val="20"/>
          <w:szCs w:val="20"/>
        </w:rPr>
      </w:pPr>
    </w:p>
    <w:p w14:paraId="19B988A1" w14:textId="77777777" w:rsidR="0053454F" w:rsidRDefault="0053454F" w:rsidP="0053454F">
      <w:pPr>
        <w:spacing w:after="0" w:line="276" w:lineRule="auto"/>
        <w:rPr>
          <w:rFonts w:ascii="Century Gothic" w:hAnsi="Century Gothic"/>
          <w:b/>
          <w:bCs/>
          <w:color w:val="44546A"/>
          <w:sz w:val="20"/>
          <w:szCs w:val="20"/>
        </w:rPr>
      </w:pPr>
    </w:p>
    <w:p w14:paraId="6BF064EF" w14:textId="77777777" w:rsidR="004D7F3D" w:rsidRDefault="004D7F3D">
      <w:pPr>
        <w:rPr>
          <w:rFonts w:ascii="Century Gothic" w:hAnsi="Century Gothic"/>
          <w:b/>
          <w:bCs/>
          <w:color w:val="44546A"/>
          <w:sz w:val="20"/>
          <w:szCs w:val="20"/>
        </w:rPr>
      </w:pPr>
      <w:r>
        <w:rPr>
          <w:rFonts w:ascii="Century Gothic" w:hAnsi="Century Gothic"/>
          <w:b/>
          <w:bCs/>
          <w:color w:val="44546A"/>
          <w:sz w:val="20"/>
          <w:szCs w:val="20"/>
        </w:rPr>
        <w:br w:type="page"/>
      </w:r>
    </w:p>
    <w:p w14:paraId="7DBB5762" w14:textId="71011D20" w:rsidR="0053454F" w:rsidRPr="00DF212D" w:rsidRDefault="0053454F" w:rsidP="006335DA">
      <w:pPr>
        <w:spacing w:after="0" w:line="276" w:lineRule="auto"/>
        <w:rPr>
          <w:rFonts w:ascii="Century Gothic" w:eastAsiaTheme="majorEastAsia" w:hAnsi="Century Gothic" w:cstheme="majorBidi"/>
          <w:b/>
          <w:bCs/>
          <w:color w:val="4EAFC6"/>
          <w:sz w:val="21"/>
          <w:szCs w:val="21"/>
          <w:lang w:eastAsia="en-US"/>
        </w:rPr>
      </w:pPr>
      <w:bookmarkStart w:id="51" w:name="_Toc491783087"/>
      <w:r w:rsidRPr="00DF212D">
        <w:rPr>
          <w:rFonts w:ascii="Century Gothic" w:hAnsi="Century Gothic"/>
          <w:b/>
          <w:bCs/>
          <w:color w:val="44546A"/>
          <w:sz w:val="20"/>
          <w:szCs w:val="20"/>
        </w:rPr>
        <w:lastRenderedPageBreak/>
        <w:t xml:space="preserve">Figure </w:t>
      </w:r>
      <w:r>
        <w:rPr>
          <w:rFonts w:ascii="Century Gothic" w:hAnsi="Century Gothic"/>
          <w:b/>
          <w:bCs/>
          <w:color w:val="44546A"/>
          <w:sz w:val="20"/>
          <w:szCs w:val="20"/>
        </w:rPr>
        <w:fldChar w:fldCharType="begin"/>
      </w:r>
      <w:r w:rsidRPr="00DF212D">
        <w:rPr>
          <w:rFonts w:ascii="Century Gothic" w:hAnsi="Century Gothic"/>
          <w:b/>
          <w:bCs/>
          <w:color w:val="44546A"/>
          <w:sz w:val="20"/>
          <w:szCs w:val="20"/>
        </w:rPr>
        <w:instrText xml:space="preserve"> STYLEREF 1 \s </w:instrText>
      </w:r>
      <w:r>
        <w:rPr>
          <w:rFonts w:ascii="Century Gothic" w:hAnsi="Century Gothic"/>
          <w:b/>
          <w:bCs/>
          <w:color w:val="44546A"/>
          <w:sz w:val="20"/>
          <w:szCs w:val="20"/>
        </w:rPr>
        <w:fldChar w:fldCharType="separate"/>
      </w:r>
      <w:r w:rsidR="001470A9">
        <w:rPr>
          <w:rFonts w:ascii="Century Gothic" w:hAnsi="Century Gothic" w:hint="cs"/>
          <w:b/>
          <w:bCs/>
          <w:noProof/>
          <w:color w:val="44546A"/>
          <w:sz w:val="20"/>
          <w:szCs w:val="20"/>
          <w:cs/>
        </w:rPr>
        <w:t>‎</w:t>
      </w:r>
      <w:r w:rsidR="001470A9">
        <w:rPr>
          <w:rFonts w:ascii="Century Gothic" w:hAnsi="Century Gothic"/>
          <w:b/>
          <w:bCs/>
          <w:noProof/>
          <w:color w:val="44546A"/>
          <w:sz w:val="20"/>
          <w:szCs w:val="20"/>
        </w:rPr>
        <w:t>5</w:t>
      </w:r>
      <w:r>
        <w:rPr>
          <w:rFonts w:ascii="Century Gothic" w:hAnsi="Century Gothic"/>
          <w:b/>
          <w:bCs/>
          <w:color w:val="44546A"/>
          <w:sz w:val="20"/>
          <w:szCs w:val="20"/>
        </w:rPr>
        <w:fldChar w:fldCharType="end"/>
      </w:r>
      <w:r w:rsidRPr="00DF212D">
        <w:rPr>
          <w:rFonts w:ascii="Century Gothic" w:hAnsi="Century Gothic"/>
          <w:b/>
          <w:bCs/>
          <w:color w:val="44546A"/>
          <w:sz w:val="20"/>
          <w:szCs w:val="20"/>
        </w:rPr>
        <w:t>.</w:t>
      </w:r>
      <w:r>
        <w:rPr>
          <w:rFonts w:ascii="Century Gothic" w:hAnsi="Century Gothic"/>
          <w:b/>
          <w:bCs/>
          <w:color w:val="44546A"/>
          <w:sz w:val="20"/>
          <w:szCs w:val="20"/>
        </w:rPr>
        <w:fldChar w:fldCharType="begin"/>
      </w:r>
      <w:r w:rsidRPr="00DF212D">
        <w:rPr>
          <w:rFonts w:ascii="Century Gothic" w:hAnsi="Century Gothic"/>
          <w:b/>
          <w:bCs/>
          <w:color w:val="44546A"/>
          <w:sz w:val="20"/>
          <w:szCs w:val="20"/>
        </w:rPr>
        <w:instrText xml:space="preserve"> SEQ Figure \* ARABIC \s 1 </w:instrText>
      </w:r>
      <w:r>
        <w:rPr>
          <w:rFonts w:ascii="Century Gothic" w:hAnsi="Century Gothic"/>
          <w:b/>
          <w:bCs/>
          <w:color w:val="44546A"/>
          <w:sz w:val="20"/>
          <w:szCs w:val="20"/>
        </w:rPr>
        <w:fldChar w:fldCharType="separate"/>
      </w:r>
      <w:r w:rsidR="001470A9">
        <w:rPr>
          <w:rFonts w:ascii="Century Gothic" w:hAnsi="Century Gothic"/>
          <w:b/>
          <w:bCs/>
          <w:noProof/>
          <w:color w:val="44546A"/>
          <w:sz w:val="20"/>
          <w:szCs w:val="20"/>
        </w:rPr>
        <w:t>3</w:t>
      </w:r>
      <w:r>
        <w:rPr>
          <w:rFonts w:ascii="Century Gothic" w:hAnsi="Century Gothic"/>
          <w:b/>
          <w:bCs/>
          <w:color w:val="44546A"/>
          <w:sz w:val="20"/>
          <w:szCs w:val="20"/>
        </w:rPr>
        <w:fldChar w:fldCharType="end"/>
      </w:r>
      <w:r w:rsidRPr="00DF212D">
        <w:rPr>
          <w:rFonts w:ascii="Century Gothic" w:hAnsi="Century Gothic"/>
          <w:b/>
          <w:bCs/>
          <w:color w:val="44546A"/>
          <w:sz w:val="20"/>
          <w:szCs w:val="20"/>
        </w:rPr>
        <w:t xml:space="preserve"> </w:t>
      </w:r>
      <w:r w:rsidR="006335DA">
        <w:rPr>
          <w:rFonts w:ascii="Century Gothic" w:hAnsi="Century Gothic"/>
          <w:b/>
          <w:bCs/>
          <w:color w:val="44546A"/>
          <w:sz w:val="20"/>
          <w:szCs w:val="20"/>
        </w:rPr>
        <w:t xml:space="preserve">Broad occupational grouping of </w:t>
      </w:r>
      <w:proofErr w:type="spellStart"/>
      <w:r w:rsidR="008B1B8A">
        <w:rPr>
          <w:rFonts w:ascii="Century Gothic" w:hAnsi="Century Gothic"/>
          <w:b/>
          <w:bCs/>
          <w:color w:val="44546A"/>
          <w:sz w:val="20"/>
          <w:szCs w:val="20"/>
        </w:rPr>
        <w:t>Ngāi</w:t>
      </w:r>
      <w:proofErr w:type="spellEnd"/>
      <w:r w:rsidRPr="00DF212D">
        <w:rPr>
          <w:rFonts w:ascii="Century Gothic" w:hAnsi="Century Gothic"/>
          <w:b/>
          <w:bCs/>
          <w:color w:val="44546A"/>
          <w:sz w:val="20"/>
          <w:szCs w:val="20"/>
        </w:rPr>
        <w:t xml:space="preserve"> </w:t>
      </w:r>
      <w:proofErr w:type="spellStart"/>
      <w:r w:rsidRPr="00DF212D">
        <w:rPr>
          <w:rFonts w:ascii="Century Gothic" w:hAnsi="Century Gothic"/>
          <w:b/>
          <w:bCs/>
          <w:color w:val="44546A"/>
          <w:sz w:val="20"/>
          <w:szCs w:val="20"/>
        </w:rPr>
        <w:t>Tāmanuhiri</w:t>
      </w:r>
      <w:proofErr w:type="spellEnd"/>
      <w:r w:rsidR="006335DA">
        <w:rPr>
          <w:rFonts w:ascii="Century Gothic" w:hAnsi="Century Gothic"/>
          <w:b/>
          <w:bCs/>
          <w:color w:val="44546A"/>
          <w:sz w:val="20"/>
          <w:szCs w:val="20"/>
        </w:rPr>
        <w:t xml:space="preserve"> </w:t>
      </w:r>
      <w:r>
        <w:rPr>
          <w:rFonts w:ascii="Century Gothic" w:hAnsi="Century Gothic"/>
          <w:b/>
          <w:bCs/>
          <w:color w:val="44546A"/>
          <w:sz w:val="20"/>
          <w:szCs w:val="20"/>
        </w:rPr>
        <w:t xml:space="preserve">resident in </w:t>
      </w:r>
      <w:proofErr w:type="spellStart"/>
      <w:r>
        <w:rPr>
          <w:rFonts w:ascii="Century Gothic" w:hAnsi="Century Gothic"/>
          <w:b/>
          <w:bCs/>
          <w:color w:val="44546A"/>
          <w:sz w:val="20"/>
          <w:szCs w:val="20"/>
        </w:rPr>
        <w:t>Gisborne</w:t>
      </w:r>
      <w:proofErr w:type="spellEnd"/>
      <w:r>
        <w:rPr>
          <w:rFonts w:ascii="Century Gothic" w:hAnsi="Century Gothic"/>
          <w:b/>
          <w:bCs/>
          <w:color w:val="44546A"/>
          <w:sz w:val="20"/>
          <w:szCs w:val="20"/>
        </w:rPr>
        <w:t xml:space="preserve"> and rest of New Zealand; </w:t>
      </w:r>
      <w:r w:rsidR="006335DA">
        <w:rPr>
          <w:rFonts w:ascii="Century Gothic" w:hAnsi="Century Gothic"/>
          <w:b/>
          <w:bCs/>
          <w:color w:val="44546A"/>
          <w:sz w:val="20"/>
          <w:szCs w:val="20"/>
        </w:rPr>
        <w:t xml:space="preserve">adults aged 15+ years; 2013 </w:t>
      </w:r>
      <w:r>
        <w:rPr>
          <w:rFonts w:ascii="Century Gothic" w:hAnsi="Century Gothic"/>
          <w:b/>
          <w:bCs/>
          <w:color w:val="44546A"/>
          <w:sz w:val="20"/>
          <w:szCs w:val="20"/>
        </w:rPr>
        <w:t>Census</w:t>
      </w:r>
      <w:bookmarkEnd w:id="51"/>
      <w:r>
        <w:rPr>
          <w:rFonts w:ascii="Century Gothic" w:hAnsi="Century Gothic"/>
          <w:b/>
          <w:bCs/>
          <w:color w:val="44546A"/>
          <w:sz w:val="20"/>
          <w:szCs w:val="20"/>
        </w:rPr>
        <w:t xml:space="preserve"> </w:t>
      </w:r>
    </w:p>
    <w:p w14:paraId="17145512" w14:textId="466BC01B" w:rsidR="0053454F" w:rsidRDefault="009B4456" w:rsidP="0053454F">
      <w:pPr>
        <w:spacing w:after="0" w:line="276" w:lineRule="auto"/>
        <w:rPr>
          <w:rFonts w:ascii="Century Gothic" w:hAnsi="Century Gothic"/>
          <w:b/>
          <w:bCs/>
          <w:color w:val="44546A"/>
          <w:sz w:val="20"/>
          <w:szCs w:val="20"/>
        </w:rPr>
      </w:pPr>
      <w:r w:rsidRPr="009B4456">
        <w:rPr>
          <w:noProof/>
        </w:rPr>
        <w:drawing>
          <wp:anchor distT="0" distB="0" distL="114300" distR="114300" simplePos="0" relativeHeight="252337152" behindDoc="1" locked="0" layoutInCell="1" allowOverlap="1" wp14:anchorId="7B6CD86D" wp14:editId="42B0AD4E">
            <wp:simplePos x="0" y="0"/>
            <wp:positionH relativeFrom="column">
              <wp:posOffset>-3175</wp:posOffset>
            </wp:positionH>
            <wp:positionV relativeFrom="paragraph">
              <wp:posOffset>132715</wp:posOffset>
            </wp:positionV>
            <wp:extent cx="5536565" cy="2559050"/>
            <wp:effectExtent l="0" t="0" r="6985" b="0"/>
            <wp:wrapTight wrapText="bothSides">
              <wp:wrapPolygon edited="0">
                <wp:start x="0" y="0"/>
                <wp:lineTo x="0" y="21386"/>
                <wp:lineTo x="21553" y="21386"/>
                <wp:lineTo x="21553"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36565" cy="2559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1060CB" w14:textId="49986DC9" w:rsidR="0053454F" w:rsidRDefault="0053454F" w:rsidP="0053454F">
      <w:pPr>
        <w:spacing w:after="0" w:line="276" w:lineRule="auto"/>
        <w:rPr>
          <w:rFonts w:ascii="Century Gothic" w:hAnsi="Century Gothic"/>
          <w:b/>
          <w:bCs/>
          <w:color w:val="44546A"/>
          <w:sz w:val="20"/>
          <w:szCs w:val="20"/>
        </w:rPr>
      </w:pPr>
    </w:p>
    <w:p w14:paraId="495E09A3" w14:textId="66D28CB8" w:rsidR="0053454F" w:rsidRDefault="0053454F" w:rsidP="0053454F">
      <w:pPr>
        <w:spacing w:after="0" w:line="276" w:lineRule="auto"/>
        <w:rPr>
          <w:rFonts w:ascii="Century Gothic" w:hAnsi="Century Gothic"/>
          <w:b/>
          <w:bCs/>
          <w:color w:val="44546A"/>
          <w:sz w:val="20"/>
          <w:szCs w:val="20"/>
        </w:rPr>
      </w:pPr>
    </w:p>
    <w:p w14:paraId="37A48D68" w14:textId="7DFF4E4C" w:rsidR="0053454F" w:rsidRDefault="0053454F" w:rsidP="0053454F">
      <w:pPr>
        <w:spacing w:after="0" w:line="276" w:lineRule="auto"/>
        <w:rPr>
          <w:rFonts w:ascii="Century Gothic" w:hAnsi="Century Gothic"/>
          <w:b/>
          <w:bCs/>
          <w:color w:val="44546A"/>
          <w:sz w:val="20"/>
          <w:szCs w:val="20"/>
        </w:rPr>
      </w:pPr>
    </w:p>
    <w:p w14:paraId="3ED19B6F" w14:textId="77777777" w:rsidR="0053454F" w:rsidRDefault="0053454F" w:rsidP="0053454F">
      <w:pPr>
        <w:spacing w:after="0" w:line="276" w:lineRule="auto"/>
        <w:rPr>
          <w:rFonts w:ascii="Century Gothic" w:hAnsi="Century Gothic"/>
          <w:b/>
          <w:bCs/>
          <w:color w:val="44546A"/>
          <w:sz w:val="20"/>
          <w:szCs w:val="20"/>
        </w:rPr>
      </w:pPr>
    </w:p>
    <w:p w14:paraId="0A44C433" w14:textId="77777777" w:rsidR="0053454F" w:rsidRDefault="0053454F" w:rsidP="0053454F">
      <w:pPr>
        <w:spacing w:after="0" w:line="276" w:lineRule="auto"/>
        <w:rPr>
          <w:rFonts w:ascii="Century Gothic" w:hAnsi="Century Gothic"/>
          <w:b/>
          <w:bCs/>
          <w:color w:val="44546A"/>
          <w:sz w:val="20"/>
          <w:szCs w:val="20"/>
        </w:rPr>
      </w:pPr>
    </w:p>
    <w:p w14:paraId="0B2787F6" w14:textId="77777777" w:rsidR="0053454F" w:rsidRDefault="0053454F" w:rsidP="0053454F">
      <w:pPr>
        <w:spacing w:after="0" w:line="276" w:lineRule="auto"/>
        <w:rPr>
          <w:rFonts w:ascii="Century Gothic" w:hAnsi="Century Gothic"/>
          <w:b/>
          <w:bCs/>
          <w:color w:val="44546A"/>
          <w:sz w:val="20"/>
          <w:szCs w:val="20"/>
        </w:rPr>
      </w:pPr>
    </w:p>
    <w:p w14:paraId="06979B06" w14:textId="77777777" w:rsidR="0053454F" w:rsidRDefault="0053454F" w:rsidP="0053454F">
      <w:pPr>
        <w:spacing w:after="0" w:line="276" w:lineRule="auto"/>
        <w:rPr>
          <w:rFonts w:ascii="Century Gothic" w:hAnsi="Century Gothic"/>
          <w:b/>
          <w:bCs/>
          <w:color w:val="44546A"/>
          <w:sz w:val="20"/>
          <w:szCs w:val="20"/>
        </w:rPr>
      </w:pPr>
    </w:p>
    <w:p w14:paraId="0122E091" w14:textId="77777777" w:rsidR="0053454F" w:rsidRDefault="0053454F" w:rsidP="0053454F">
      <w:pPr>
        <w:spacing w:after="0" w:line="276" w:lineRule="auto"/>
        <w:rPr>
          <w:rFonts w:ascii="Century Gothic" w:hAnsi="Century Gothic"/>
          <w:b/>
          <w:bCs/>
          <w:color w:val="44546A"/>
          <w:sz w:val="20"/>
          <w:szCs w:val="20"/>
        </w:rPr>
      </w:pPr>
    </w:p>
    <w:p w14:paraId="320DD4AC" w14:textId="77777777" w:rsidR="0053454F" w:rsidRDefault="0053454F" w:rsidP="0053454F">
      <w:pPr>
        <w:spacing w:after="0" w:line="276" w:lineRule="auto"/>
        <w:rPr>
          <w:rFonts w:ascii="Century Gothic" w:hAnsi="Century Gothic"/>
          <w:b/>
          <w:bCs/>
          <w:color w:val="44546A"/>
          <w:sz w:val="20"/>
          <w:szCs w:val="20"/>
        </w:rPr>
      </w:pPr>
    </w:p>
    <w:p w14:paraId="57A49497" w14:textId="496E26D1" w:rsidR="0053454F" w:rsidRDefault="0053454F" w:rsidP="0053454F">
      <w:pPr>
        <w:spacing w:after="0" w:line="276" w:lineRule="auto"/>
        <w:rPr>
          <w:rFonts w:ascii="Century Gothic" w:hAnsi="Century Gothic"/>
          <w:b/>
          <w:bCs/>
          <w:color w:val="44546A"/>
          <w:sz w:val="20"/>
          <w:szCs w:val="20"/>
        </w:rPr>
      </w:pPr>
    </w:p>
    <w:p w14:paraId="5FE53C7C" w14:textId="57600DA0" w:rsidR="0053454F" w:rsidRDefault="0053454F" w:rsidP="0053454F">
      <w:pPr>
        <w:spacing w:after="0" w:line="276" w:lineRule="auto"/>
        <w:rPr>
          <w:rFonts w:ascii="Century Gothic" w:hAnsi="Century Gothic"/>
          <w:b/>
          <w:bCs/>
          <w:color w:val="44546A"/>
          <w:sz w:val="20"/>
          <w:szCs w:val="20"/>
        </w:rPr>
      </w:pPr>
    </w:p>
    <w:p w14:paraId="784E381C" w14:textId="28AC3E71" w:rsidR="0053454F" w:rsidRDefault="0053454F" w:rsidP="0053454F">
      <w:pPr>
        <w:spacing w:after="0" w:line="276" w:lineRule="auto"/>
        <w:rPr>
          <w:rFonts w:ascii="Century Gothic" w:hAnsi="Century Gothic"/>
          <w:b/>
          <w:bCs/>
          <w:color w:val="44546A"/>
          <w:sz w:val="20"/>
          <w:szCs w:val="20"/>
        </w:rPr>
      </w:pPr>
    </w:p>
    <w:p w14:paraId="6BCB8CEB" w14:textId="34BDF44C" w:rsidR="0053454F" w:rsidRDefault="0053454F" w:rsidP="0053454F">
      <w:pPr>
        <w:spacing w:after="0" w:line="276" w:lineRule="auto"/>
        <w:rPr>
          <w:rFonts w:ascii="Century Gothic" w:hAnsi="Century Gothic"/>
          <w:b/>
          <w:bCs/>
          <w:color w:val="44546A"/>
          <w:sz w:val="20"/>
          <w:szCs w:val="20"/>
        </w:rPr>
      </w:pPr>
    </w:p>
    <w:p w14:paraId="7AEA1239" w14:textId="68EDE687" w:rsidR="0053454F" w:rsidRDefault="0053454F" w:rsidP="0053454F">
      <w:pPr>
        <w:spacing w:after="0" w:line="276" w:lineRule="auto"/>
        <w:rPr>
          <w:rFonts w:ascii="Century Gothic" w:hAnsi="Century Gothic"/>
          <w:b/>
          <w:bCs/>
          <w:color w:val="44546A"/>
          <w:sz w:val="20"/>
          <w:szCs w:val="20"/>
        </w:rPr>
      </w:pPr>
    </w:p>
    <w:p w14:paraId="785F6D3B" w14:textId="77777777" w:rsidR="0065189F" w:rsidRDefault="0065189F" w:rsidP="000B60A9">
      <w:pPr>
        <w:spacing w:after="0" w:line="360" w:lineRule="auto"/>
        <w:rPr>
          <w:rFonts w:ascii="Century Gothic" w:hAnsi="Century Gothic"/>
          <w:color w:val="44546A"/>
          <w:sz w:val="20"/>
          <w:szCs w:val="20"/>
        </w:rPr>
      </w:pPr>
    </w:p>
    <w:p w14:paraId="3B9C425E" w14:textId="595142A3" w:rsidR="0053454F" w:rsidRPr="00DE7843" w:rsidRDefault="00610110" w:rsidP="00610110">
      <w:pPr>
        <w:spacing w:after="0" w:line="360" w:lineRule="auto"/>
        <w:rPr>
          <w:rFonts w:ascii="Century Gothic" w:hAnsi="Century Gothic"/>
          <w:sz w:val="21"/>
          <w:szCs w:val="21"/>
        </w:rPr>
      </w:pPr>
      <w:r w:rsidRPr="00DE7843">
        <w:rPr>
          <w:rFonts w:ascii="Century Gothic" w:hAnsi="Century Gothic"/>
          <w:sz w:val="21"/>
          <w:szCs w:val="21"/>
        </w:rPr>
        <w:t>What about</w:t>
      </w:r>
      <w:r w:rsidR="00FC54FD" w:rsidRPr="00DE7843">
        <w:rPr>
          <w:rFonts w:ascii="Century Gothic" w:hAnsi="Century Gothic"/>
          <w:sz w:val="21"/>
          <w:szCs w:val="21"/>
        </w:rPr>
        <w:t xml:space="preserve"> the occupational profile of </w:t>
      </w:r>
      <w:proofErr w:type="spellStart"/>
      <w:proofErr w:type="gramStart"/>
      <w:r w:rsidR="00B44D8D" w:rsidRPr="00DE7843">
        <w:rPr>
          <w:rFonts w:ascii="Century Gothic" w:hAnsi="Century Gothic"/>
          <w:sz w:val="21"/>
          <w:szCs w:val="21"/>
        </w:rPr>
        <w:t>t</w:t>
      </w:r>
      <w:r w:rsidR="000B60A9" w:rsidRPr="00DE7843">
        <w:rPr>
          <w:rFonts w:ascii="Century Gothic" w:hAnsi="Century Gothic"/>
          <w:sz w:val="21"/>
          <w:szCs w:val="21"/>
        </w:rPr>
        <w:t>e</w:t>
      </w:r>
      <w:proofErr w:type="spellEnd"/>
      <w:proofErr w:type="gramEnd"/>
      <w:r w:rsidR="000B60A9" w:rsidRPr="00DE7843">
        <w:rPr>
          <w:rFonts w:ascii="Century Gothic" w:hAnsi="Century Gothic"/>
          <w:sz w:val="21"/>
          <w:szCs w:val="21"/>
        </w:rPr>
        <w:t xml:space="preserve"> reo Māori</w:t>
      </w:r>
      <w:r w:rsidRPr="00DE7843">
        <w:rPr>
          <w:rFonts w:ascii="Century Gothic" w:hAnsi="Century Gothic"/>
          <w:sz w:val="21"/>
          <w:szCs w:val="21"/>
        </w:rPr>
        <w:t xml:space="preserve"> speakers?</w:t>
      </w:r>
      <w:r w:rsidR="00FC54FD" w:rsidRPr="00DE7843">
        <w:rPr>
          <w:rFonts w:ascii="Century Gothic" w:hAnsi="Century Gothic"/>
          <w:sz w:val="21"/>
          <w:szCs w:val="21"/>
        </w:rPr>
        <w:t xml:space="preserve"> </w:t>
      </w:r>
      <w:r w:rsidR="00D57108" w:rsidRPr="00DE7843">
        <w:rPr>
          <w:rFonts w:ascii="Century Gothic" w:hAnsi="Century Gothic"/>
          <w:sz w:val="21"/>
          <w:szCs w:val="21"/>
        </w:rPr>
        <w:t xml:space="preserve">Given the higher educational profile of </w:t>
      </w:r>
      <w:proofErr w:type="spellStart"/>
      <w:r w:rsidR="00D57108" w:rsidRPr="00DE7843">
        <w:rPr>
          <w:rFonts w:ascii="Century Gothic" w:hAnsi="Century Gothic"/>
          <w:sz w:val="21"/>
          <w:szCs w:val="21"/>
        </w:rPr>
        <w:t>Ngāi</w:t>
      </w:r>
      <w:proofErr w:type="spellEnd"/>
      <w:r w:rsidR="00D57108" w:rsidRPr="00DE7843">
        <w:rPr>
          <w:rFonts w:ascii="Century Gothic" w:hAnsi="Century Gothic"/>
          <w:sz w:val="21"/>
          <w:szCs w:val="21"/>
        </w:rPr>
        <w:t xml:space="preserve"> </w:t>
      </w:r>
      <w:proofErr w:type="spellStart"/>
      <w:r w:rsidR="00D57108" w:rsidRPr="00DE7843">
        <w:rPr>
          <w:rFonts w:ascii="Century Gothic" w:hAnsi="Century Gothic"/>
          <w:sz w:val="21"/>
          <w:szCs w:val="21"/>
        </w:rPr>
        <w:t>Tāmanuhiri</w:t>
      </w:r>
      <w:proofErr w:type="spellEnd"/>
      <w:r w:rsidR="00D57108" w:rsidRPr="00DE7843">
        <w:rPr>
          <w:rFonts w:ascii="Century Gothic" w:hAnsi="Century Gothic"/>
          <w:sz w:val="21"/>
          <w:szCs w:val="21"/>
        </w:rPr>
        <w:t xml:space="preserve"> speakers it is </w:t>
      </w:r>
      <w:r w:rsidRPr="00DE7843">
        <w:rPr>
          <w:rFonts w:ascii="Century Gothic" w:hAnsi="Century Gothic"/>
          <w:sz w:val="21"/>
          <w:szCs w:val="21"/>
        </w:rPr>
        <w:t>not</w:t>
      </w:r>
      <w:r w:rsidR="00D57108" w:rsidRPr="00DE7843">
        <w:rPr>
          <w:rFonts w:ascii="Century Gothic" w:hAnsi="Century Gothic"/>
          <w:sz w:val="21"/>
          <w:szCs w:val="21"/>
        </w:rPr>
        <w:t xml:space="preserve"> surprising that their occ</w:t>
      </w:r>
      <w:r w:rsidR="00FC54FD" w:rsidRPr="00DE7843">
        <w:rPr>
          <w:rFonts w:ascii="Century Gothic" w:hAnsi="Century Gothic"/>
          <w:sz w:val="21"/>
          <w:szCs w:val="21"/>
        </w:rPr>
        <w:t>upationa</w:t>
      </w:r>
      <w:r w:rsidRPr="00DE7843">
        <w:rPr>
          <w:rFonts w:ascii="Century Gothic" w:hAnsi="Century Gothic"/>
          <w:sz w:val="21"/>
          <w:szCs w:val="21"/>
        </w:rPr>
        <w:t>l profile also differed</w:t>
      </w:r>
      <w:r w:rsidR="00D57108" w:rsidRPr="00DE7843">
        <w:rPr>
          <w:rFonts w:ascii="Century Gothic" w:hAnsi="Century Gothic"/>
          <w:sz w:val="21"/>
          <w:szCs w:val="21"/>
        </w:rPr>
        <w:t xml:space="preserve">. </w:t>
      </w:r>
      <w:r w:rsidR="000B60A9" w:rsidRPr="00DE7843">
        <w:rPr>
          <w:rFonts w:ascii="Century Gothic" w:hAnsi="Century Gothic"/>
          <w:sz w:val="21"/>
          <w:szCs w:val="21"/>
        </w:rPr>
        <w:t>In</w:t>
      </w:r>
      <w:r w:rsidR="00D57108" w:rsidRPr="00DE7843">
        <w:rPr>
          <w:rFonts w:ascii="Century Gothic" w:hAnsi="Century Gothic"/>
          <w:sz w:val="21"/>
          <w:szCs w:val="21"/>
        </w:rPr>
        <w:t xml:space="preserve"> 2013 nearly half of all </w:t>
      </w:r>
      <w:proofErr w:type="spellStart"/>
      <w:proofErr w:type="gramStart"/>
      <w:r w:rsidR="00B44D8D" w:rsidRPr="00DE7843">
        <w:rPr>
          <w:rFonts w:ascii="Century Gothic" w:hAnsi="Century Gothic"/>
          <w:sz w:val="21"/>
          <w:szCs w:val="21"/>
        </w:rPr>
        <w:t>t</w:t>
      </w:r>
      <w:r w:rsidR="000B60A9" w:rsidRPr="00DE7843">
        <w:rPr>
          <w:rFonts w:ascii="Century Gothic" w:hAnsi="Century Gothic"/>
          <w:sz w:val="21"/>
          <w:szCs w:val="21"/>
        </w:rPr>
        <w:t>e</w:t>
      </w:r>
      <w:proofErr w:type="spellEnd"/>
      <w:proofErr w:type="gramEnd"/>
      <w:r w:rsidR="000B60A9" w:rsidRPr="00DE7843">
        <w:rPr>
          <w:rFonts w:ascii="Century Gothic" w:hAnsi="Century Gothic"/>
          <w:sz w:val="21"/>
          <w:szCs w:val="21"/>
        </w:rPr>
        <w:t xml:space="preserve"> reo Māori</w:t>
      </w:r>
      <w:r w:rsidR="00D57108" w:rsidRPr="00DE7843">
        <w:rPr>
          <w:rFonts w:ascii="Century Gothic" w:hAnsi="Century Gothic"/>
          <w:sz w:val="21"/>
          <w:szCs w:val="21"/>
        </w:rPr>
        <w:t xml:space="preserve"> speakers from the iwi were managers or professionals (Figure 5.3). </w:t>
      </w:r>
      <w:r w:rsidR="000B60A9" w:rsidRPr="00DE7843">
        <w:rPr>
          <w:rFonts w:ascii="Century Gothic" w:hAnsi="Century Gothic"/>
          <w:sz w:val="21"/>
          <w:szCs w:val="21"/>
        </w:rPr>
        <w:t>Within the Māori descent population, t</w:t>
      </w:r>
      <w:r w:rsidR="00D57108" w:rsidRPr="00DE7843">
        <w:rPr>
          <w:rFonts w:ascii="Century Gothic" w:hAnsi="Century Gothic"/>
          <w:sz w:val="21"/>
          <w:szCs w:val="21"/>
        </w:rPr>
        <w:t xml:space="preserve">he percentage of </w:t>
      </w:r>
      <w:proofErr w:type="spellStart"/>
      <w:proofErr w:type="gramStart"/>
      <w:r w:rsidRPr="00DE7843">
        <w:rPr>
          <w:rFonts w:ascii="Century Gothic" w:hAnsi="Century Gothic"/>
          <w:sz w:val="21"/>
          <w:szCs w:val="21"/>
        </w:rPr>
        <w:t>t</w:t>
      </w:r>
      <w:r w:rsidR="000B60A9" w:rsidRPr="00DE7843">
        <w:rPr>
          <w:rFonts w:ascii="Century Gothic" w:hAnsi="Century Gothic"/>
          <w:sz w:val="21"/>
          <w:szCs w:val="21"/>
        </w:rPr>
        <w:t>e</w:t>
      </w:r>
      <w:proofErr w:type="spellEnd"/>
      <w:proofErr w:type="gramEnd"/>
      <w:r w:rsidR="000B60A9" w:rsidRPr="00DE7843">
        <w:rPr>
          <w:rFonts w:ascii="Century Gothic" w:hAnsi="Century Gothic"/>
          <w:sz w:val="21"/>
          <w:szCs w:val="21"/>
        </w:rPr>
        <w:t xml:space="preserve"> reo Māori</w:t>
      </w:r>
      <w:r w:rsidR="00D57108" w:rsidRPr="00DE7843">
        <w:rPr>
          <w:rFonts w:ascii="Century Gothic" w:hAnsi="Century Gothic"/>
          <w:sz w:val="21"/>
          <w:szCs w:val="21"/>
        </w:rPr>
        <w:t xml:space="preserve"> speakers </w:t>
      </w:r>
      <w:r w:rsidR="000B60A9" w:rsidRPr="00DE7843">
        <w:rPr>
          <w:rFonts w:ascii="Century Gothic" w:hAnsi="Century Gothic"/>
          <w:sz w:val="21"/>
          <w:szCs w:val="21"/>
        </w:rPr>
        <w:t>who were managers and professionals</w:t>
      </w:r>
      <w:r w:rsidR="00D57108" w:rsidRPr="00DE7843">
        <w:rPr>
          <w:rFonts w:ascii="Century Gothic" w:hAnsi="Century Gothic"/>
          <w:sz w:val="21"/>
          <w:szCs w:val="21"/>
        </w:rPr>
        <w:t xml:space="preserve"> was also higher than the national </w:t>
      </w:r>
      <w:r w:rsidR="00FC54FD" w:rsidRPr="00DE7843">
        <w:rPr>
          <w:rFonts w:ascii="Century Gothic" w:hAnsi="Century Gothic"/>
          <w:sz w:val="21"/>
          <w:szCs w:val="21"/>
        </w:rPr>
        <w:t xml:space="preserve">average. For reasons that we are unable to explore in any depth here, speaking </w:t>
      </w:r>
      <w:proofErr w:type="spellStart"/>
      <w:proofErr w:type="gramStart"/>
      <w:r w:rsidRPr="00DE7843">
        <w:rPr>
          <w:rFonts w:ascii="Century Gothic" w:hAnsi="Century Gothic"/>
          <w:sz w:val="21"/>
          <w:szCs w:val="21"/>
        </w:rPr>
        <w:t>t</w:t>
      </w:r>
      <w:r w:rsidR="000B60A9" w:rsidRPr="00DE7843">
        <w:rPr>
          <w:rFonts w:ascii="Century Gothic" w:hAnsi="Century Gothic"/>
          <w:sz w:val="21"/>
          <w:szCs w:val="21"/>
        </w:rPr>
        <w:t>e</w:t>
      </w:r>
      <w:proofErr w:type="spellEnd"/>
      <w:proofErr w:type="gramEnd"/>
      <w:r w:rsidR="000B60A9" w:rsidRPr="00DE7843">
        <w:rPr>
          <w:rFonts w:ascii="Century Gothic" w:hAnsi="Century Gothic"/>
          <w:sz w:val="21"/>
          <w:szCs w:val="21"/>
        </w:rPr>
        <w:t xml:space="preserve"> reo Māori</w:t>
      </w:r>
      <w:r w:rsidR="00FC54FD" w:rsidRPr="00DE7843">
        <w:rPr>
          <w:rFonts w:ascii="Century Gothic" w:hAnsi="Century Gothic"/>
          <w:sz w:val="21"/>
          <w:szCs w:val="21"/>
        </w:rPr>
        <w:t xml:space="preserve"> is associated with more positive outcomes in education and the labour market, and this effect is more evident for </w:t>
      </w:r>
      <w:proofErr w:type="spellStart"/>
      <w:r w:rsidR="00FC54FD" w:rsidRPr="00DE7843">
        <w:rPr>
          <w:rFonts w:ascii="Century Gothic" w:hAnsi="Century Gothic"/>
          <w:sz w:val="21"/>
          <w:szCs w:val="21"/>
        </w:rPr>
        <w:t>Ngāi</w:t>
      </w:r>
      <w:proofErr w:type="spellEnd"/>
      <w:r w:rsidR="00FC54FD" w:rsidRPr="00DE7843">
        <w:rPr>
          <w:rFonts w:ascii="Century Gothic" w:hAnsi="Century Gothic"/>
          <w:sz w:val="21"/>
          <w:szCs w:val="21"/>
        </w:rPr>
        <w:t xml:space="preserve"> </w:t>
      </w:r>
      <w:proofErr w:type="spellStart"/>
      <w:r w:rsidR="00FC54FD" w:rsidRPr="00DE7843">
        <w:rPr>
          <w:rFonts w:ascii="Century Gothic" w:hAnsi="Century Gothic"/>
          <w:sz w:val="21"/>
          <w:szCs w:val="21"/>
        </w:rPr>
        <w:t>Tāmanuhiri</w:t>
      </w:r>
      <w:proofErr w:type="spellEnd"/>
      <w:r w:rsidR="00FC54FD" w:rsidRPr="00DE7843">
        <w:rPr>
          <w:rFonts w:ascii="Century Gothic" w:hAnsi="Century Gothic"/>
          <w:sz w:val="21"/>
          <w:szCs w:val="21"/>
        </w:rPr>
        <w:t xml:space="preserve"> than for Māori generally.</w:t>
      </w:r>
    </w:p>
    <w:p w14:paraId="5C9D180C" w14:textId="26E9727B" w:rsidR="0053454F" w:rsidRDefault="0053454F" w:rsidP="004D7F3D">
      <w:pPr>
        <w:spacing w:after="0" w:line="360" w:lineRule="auto"/>
        <w:rPr>
          <w:rFonts w:ascii="Century Gothic" w:hAnsi="Century Gothic"/>
          <w:b/>
          <w:bCs/>
          <w:color w:val="44546A"/>
          <w:sz w:val="20"/>
          <w:szCs w:val="20"/>
        </w:rPr>
      </w:pPr>
    </w:p>
    <w:p w14:paraId="748BE875" w14:textId="4613BC2C" w:rsidR="001F681F" w:rsidRDefault="001F681F" w:rsidP="00D57108">
      <w:pPr>
        <w:spacing w:after="0" w:line="276" w:lineRule="auto"/>
        <w:rPr>
          <w:rFonts w:ascii="Century Gothic" w:hAnsi="Century Gothic"/>
          <w:b/>
          <w:bCs/>
          <w:color w:val="44546A"/>
          <w:sz w:val="20"/>
          <w:szCs w:val="20"/>
        </w:rPr>
      </w:pPr>
      <w:bookmarkStart w:id="52" w:name="_Toc491783088"/>
      <w:bookmarkEnd w:id="10"/>
      <w:r w:rsidRPr="001F681F">
        <w:rPr>
          <w:noProof/>
        </w:rPr>
        <w:drawing>
          <wp:anchor distT="0" distB="0" distL="114300" distR="114300" simplePos="0" relativeHeight="252361728" behindDoc="1" locked="0" layoutInCell="1" allowOverlap="1" wp14:anchorId="1325A54C" wp14:editId="6C0C6EF1">
            <wp:simplePos x="0" y="0"/>
            <wp:positionH relativeFrom="column">
              <wp:posOffset>-4777</wp:posOffset>
            </wp:positionH>
            <wp:positionV relativeFrom="paragraph">
              <wp:posOffset>431247</wp:posOffset>
            </wp:positionV>
            <wp:extent cx="6148800" cy="2577600"/>
            <wp:effectExtent l="0" t="0" r="4445" b="0"/>
            <wp:wrapTight wrapText="bothSides">
              <wp:wrapPolygon edited="0">
                <wp:start x="0" y="0"/>
                <wp:lineTo x="0" y="21392"/>
                <wp:lineTo x="21549" y="21392"/>
                <wp:lineTo x="2154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48800" cy="257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212D">
        <w:rPr>
          <w:rFonts w:ascii="Century Gothic" w:hAnsi="Century Gothic"/>
          <w:b/>
          <w:bCs/>
          <w:color w:val="44546A"/>
          <w:sz w:val="20"/>
          <w:szCs w:val="20"/>
        </w:rPr>
        <w:t xml:space="preserve">Figure </w:t>
      </w:r>
      <w:r>
        <w:rPr>
          <w:rFonts w:ascii="Century Gothic" w:hAnsi="Century Gothic"/>
          <w:b/>
          <w:bCs/>
          <w:color w:val="44546A"/>
          <w:sz w:val="20"/>
          <w:szCs w:val="20"/>
        </w:rPr>
        <w:fldChar w:fldCharType="begin"/>
      </w:r>
      <w:r w:rsidRPr="00DF212D">
        <w:rPr>
          <w:rFonts w:ascii="Century Gothic" w:hAnsi="Century Gothic"/>
          <w:b/>
          <w:bCs/>
          <w:color w:val="44546A"/>
          <w:sz w:val="20"/>
          <w:szCs w:val="20"/>
        </w:rPr>
        <w:instrText xml:space="preserve"> STYLEREF 1 \s </w:instrText>
      </w:r>
      <w:r>
        <w:rPr>
          <w:rFonts w:ascii="Century Gothic" w:hAnsi="Century Gothic"/>
          <w:b/>
          <w:bCs/>
          <w:color w:val="44546A"/>
          <w:sz w:val="20"/>
          <w:szCs w:val="20"/>
        </w:rPr>
        <w:fldChar w:fldCharType="separate"/>
      </w:r>
      <w:r w:rsidR="001470A9">
        <w:rPr>
          <w:rFonts w:ascii="Century Gothic" w:hAnsi="Century Gothic" w:hint="cs"/>
          <w:b/>
          <w:bCs/>
          <w:noProof/>
          <w:color w:val="44546A"/>
          <w:sz w:val="20"/>
          <w:szCs w:val="20"/>
          <w:cs/>
        </w:rPr>
        <w:t>‎</w:t>
      </w:r>
      <w:r w:rsidR="001470A9">
        <w:rPr>
          <w:rFonts w:ascii="Century Gothic" w:hAnsi="Century Gothic"/>
          <w:b/>
          <w:bCs/>
          <w:noProof/>
          <w:color w:val="44546A"/>
          <w:sz w:val="20"/>
          <w:szCs w:val="20"/>
        </w:rPr>
        <w:t>5</w:t>
      </w:r>
      <w:r>
        <w:rPr>
          <w:rFonts w:ascii="Century Gothic" w:hAnsi="Century Gothic"/>
          <w:b/>
          <w:bCs/>
          <w:color w:val="44546A"/>
          <w:sz w:val="20"/>
          <w:szCs w:val="20"/>
        </w:rPr>
        <w:fldChar w:fldCharType="end"/>
      </w:r>
      <w:r w:rsidRPr="00DF212D">
        <w:rPr>
          <w:rFonts w:ascii="Century Gothic" w:hAnsi="Century Gothic"/>
          <w:b/>
          <w:bCs/>
          <w:color w:val="44546A"/>
          <w:sz w:val="20"/>
          <w:szCs w:val="20"/>
        </w:rPr>
        <w:t>.</w:t>
      </w:r>
      <w:r>
        <w:rPr>
          <w:rFonts w:ascii="Century Gothic" w:hAnsi="Century Gothic"/>
          <w:b/>
          <w:bCs/>
          <w:color w:val="44546A"/>
          <w:sz w:val="20"/>
          <w:szCs w:val="20"/>
        </w:rPr>
        <w:fldChar w:fldCharType="begin"/>
      </w:r>
      <w:r w:rsidRPr="00DF212D">
        <w:rPr>
          <w:rFonts w:ascii="Century Gothic" w:hAnsi="Century Gothic"/>
          <w:b/>
          <w:bCs/>
          <w:color w:val="44546A"/>
          <w:sz w:val="20"/>
          <w:szCs w:val="20"/>
        </w:rPr>
        <w:instrText xml:space="preserve"> SEQ Figure \* ARABIC \s 1 </w:instrText>
      </w:r>
      <w:r>
        <w:rPr>
          <w:rFonts w:ascii="Century Gothic" w:hAnsi="Century Gothic"/>
          <w:b/>
          <w:bCs/>
          <w:color w:val="44546A"/>
          <w:sz w:val="20"/>
          <w:szCs w:val="20"/>
        </w:rPr>
        <w:fldChar w:fldCharType="separate"/>
      </w:r>
      <w:r w:rsidR="001470A9">
        <w:rPr>
          <w:rFonts w:ascii="Century Gothic" w:hAnsi="Century Gothic"/>
          <w:b/>
          <w:bCs/>
          <w:noProof/>
          <w:color w:val="44546A"/>
          <w:sz w:val="20"/>
          <w:szCs w:val="20"/>
        </w:rPr>
        <w:t>4</w:t>
      </w:r>
      <w:r>
        <w:rPr>
          <w:rFonts w:ascii="Century Gothic" w:hAnsi="Century Gothic"/>
          <w:b/>
          <w:bCs/>
          <w:color w:val="44546A"/>
          <w:sz w:val="20"/>
          <w:szCs w:val="20"/>
        </w:rPr>
        <w:fldChar w:fldCharType="end"/>
      </w:r>
      <w:r w:rsidRPr="00DF212D">
        <w:rPr>
          <w:rFonts w:ascii="Century Gothic" w:hAnsi="Century Gothic"/>
          <w:b/>
          <w:bCs/>
          <w:color w:val="44546A"/>
          <w:sz w:val="20"/>
          <w:szCs w:val="20"/>
        </w:rPr>
        <w:t xml:space="preserve"> </w:t>
      </w:r>
      <w:r w:rsidR="006335DA" w:rsidRPr="00DF212D">
        <w:rPr>
          <w:rFonts w:ascii="Century Gothic" w:hAnsi="Century Gothic"/>
          <w:b/>
          <w:bCs/>
          <w:color w:val="44546A"/>
          <w:sz w:val="20"/>
          <w:szCs w:val="20"/>
        </w:rPr>
        <w:t xml:space="preserve"> </w:t>
      </w:r>
      <w:r w:rsidR="006335DA">
        <w:rPr>
          <w:rFonts w:ascii="Century Gothic" w:hAnsi="Century Gothic"/>
          <w:b/>
          <w:bCs/>
          <w:color w:val="44546A"/>
          <w:sz w:val="20"/>
          <w:szCs w:val="20"/>
        </w:rPr>
        <w:t xml:space="preserve">Broad occupational grouping of </w:t>
      </w:r>
      <w:proofErr w:type="spellStart"/>
      <w:proofErr w:type="gramStart"/>
      <w:r w:rsidR="00995709">
        <w:rPr>
          <w:rFonts w:ascii="Century Gothic" w:hAnsi="Century Gothic"/>
          <w:b/>
          <w:bCs/>
          <w:color w:val="44546A"/>
          <w:sz w:val="20"/>
          <w:szCs w:val="20"/>
        </w:rPr>
        <w:t>t</w:t>
      </w:r>
      <w:r w:rsidR="000B60A9">
        <w:rPr>
          <w:rFonts w:ascii="Century Gothic" w:hAnsi="Century Gothic"/>
          <w:b/>
          <w:bCs/>
          <w:color w:val="44546A"/>
          <w:sz w:val="20"/>
          <w:szCs w:val="20"/>
        </w:rPr>
        <w:t>e</w:t>
      </w:r>
      <w:proofErr w:type="spellEnd"/>
      <w:proofErr w:type="gramEnd"/>
      <w:r w:rsidR="000B60A9">
        <w:rPr>
          <w:rFonts w:ascii="Century Gothic" w:hAnsi="Century Gothic"/>
          <w:b/>
          <w:bCs/>
          <w:color w:val="44546A"/>
          <w:sz w:val="20"/>
          <w:szCs w:val="20"/>
        </w:rPr>
        <w:t xml:space="preserve"> reo Māori</w:t>
      </w:r>
      <w:r>
        <w:rPr>
          <w:rFonts w:ascii="Century Gothic" w:hAnsi="Century Gothic"/>
          <w:b/>
          <w:bCs/>
          <w:color w:val="44546A"/>
          <w:sz w:val="20"/>
          <w:szCs w:val="20"/>
        </w:rPr>
        <w:t xml:space="preserve"> </w:t>
      </w:r>
      <w:r w:rsidR="006335DA">
        <w:rPr>
          <w:rFonts w:ascii="Century Gothic" w:hAnsi="Century Gothic"/>
          <w:b/>
          <w:bCs/>
          <w:color w:val="44546A"/>
          <w:sz w:val="20"/>
          <w:szCs w:val="20"/>
        </w:rPr>
        <w:t>speakers</w:t>
      </w:r>
      <w:r>
        <w:rPr>
          <w:rFonts w:ascii="Century Gothic" w:hAnsi="Century Gothic"/>
          <w:b/>
          <w:bCs/>
          <w:color w:val="44546A"/>
          <w:sz w:val="20"/>
          <w:szCs w:val="20"/>
        </w:rPr>
        <w:t xml:space="preserve">; </w:t>
      </w:r>
      <w:proofErr w:type="spellStart"/>
      <w:r w:rsidR="008B1B8A">
        <w:rPr>
          <w:rFonts w:ascii="Century Gothic" w:hAnsi="Century Gothic"/>
          <w:b/>
          <w:bCs/>
          <w:color w:val="44546A"/>
          <w:sz w:val="20"/>
          <w:szCs w:val="20"/>
        </w:rPr>
        <w:t>Ngāi</w:t>
      </w:r>
      <w:proofErr w:type="spellEnd"/>
      <w:r w:rsidRPr="00DF212D">
        <w:rPr>
          <w:rFonts w:ascii="Century Gothic" w:hAnsi="Century Gothic"/>
          <w:b/>
          <w:bCs/>
          <w:color w:val="44546A"/>
          <w:sz w:val="20"/>
          <w:szCs w:val="20"/>
        </w:rPr>
        <w:t xml:space="preserve"> </w:t>
      </w:r>
      <w:proofErr w:type="spellStart"/>
      <w:r w:rsidRPr="00DF212D">
        <w:rPr>
          <w:rFonts w:ascii="Century Gothic" w:hAnsi="Century Gothic"/>
          <w:b/>
          <w:bCs/>
          <w:color w:val="44546A"/>
          <w:sz w:val="20"/>
          <w:szCs w:val="20"/>
        </w:rPr>
        <w:t>Tāmanuhiri</w:t>
      </w:r>
      <w:proofErr w:type="spellEnd"/>
      <w:r w:rsidR="006335DA">
        <w:rPr>
          <w:rFonts w:ascii="Century Gothic" w:hAnsi="Century Gothic"/>
          <w:b/>
          <w:bCs/>
          <w:color w:val="44546A"/>
          <w:sz w:val="20"/>
          <w:szCs w:val="20"/>
        </w:rPr>
        <w:t xml:space="preserve"> </w:t>
      </w:r>
      <w:r>
        <w:rPr>
          <w:rFonts w:ascii="Century Gothic" w:hAnsi="Century Gothic"/>
          <w:b/>
          <w:bCs/>
          <w:color w:val="44546A"/>
          <w:sz w:val="20"/>
          <w:szCs w:val="20"/>
        </w:rPr>
        <w:t xml:space="preserve">and the Māori descent population; </w:t>
      </w:r>
      <w:r w:rsidR="006335DA">
        <w:rPr>
          <w:rFonts w:ascii="Century Gothic" w:hAnsi="Century Gothic"/>
          <w:b/>
          <w:bCs/>
          <w:color w:val="44546A"/>
          <w:sz w:val="20"/>
          <w:szCs w:val="20"/>
        </w:rPr>
        <w:t xml:space="preserve">adults aged 15+; </w:t>
      </w:r>
      <w:r w:rsidR="000C5D5A">
        <w:rPr>
          <w:rFonts w:ascii="Century Gothic" w:hAnsi="Century Gothic"/>
          <w:b/>
          <w:bCs/>
          <w:color w:val="44546A"/>
          <w:sz w:val="20"/>
          <w:szCs w:val="20"/>
        </w:rPr>
        <w:t xml:space="preserve">2013 </w:t>
      </w:r>
      <w:r>
        <w:rPr>
          <w:rFonts w:ascii="Century Gothic" w:hAnsi="Century Gothic"/>
          <w:b/>
          <w:bCs/>
          <w:color w:val="44546A"/>
          <w:sz w:val="20"/>
          <w:szCs w:val="20"/>
        </w:rPr>
        <w:t>Census</w:t>
      </w:r>
      <w:bookmarkEnd w:id="52"/>
    </w:p>
    <w:p w14:paraId="6E2499BC" w14:textId="0E0D70CA" w:rsidR="00744830" w:rsidRDefault="00744830" w:rsidP="009B4456"/>
    <w:p w14:paraId="34ACB167" w14:textId="21279CA3" w:rsidR="00457CAC" w:rsidRDefault="00457CAC" w:rsidP="009B4456"/>
    <w:p w14:paraId="52EDE703" w14:textId="135D978A" w:rsidR="00251989" w:rsidRDefault="0033211E" w:rsidP="00A853EB">
      <w:pPr>
        <w:spacing w:line="360" w:lineRule="auto"/>
        <w:rPr>
          <w:rFonts w:ascii="Century Gothic" w:hAnsi="Century Gothic" w:cs="Helvetica"/>
          <w:sz w:val="21"/>
          <w:szCs w:val="21"/>
          <w:shd w:val="clear" w:color="auto" w:fill="FFFFFF"/>
        </w:rPr>
      </w:pPr>
      <w:r w:rsidRPr="0033211E">
        <w:rPr>
          <w:rFonts w:ascii="Century Gothic" w:hAnsi="Century Gothic"/>
          <w:sz w:val="21"/>
          <w:szCs w:val="21"/>
        </w:rPr>
        <w:lastRenderedPageBreak/>
        <w:t xml:space="preserve">Finally we consider a basic indicator of earnings in the form of total personal income. The analysis of personal income in the census needs to be treated with care, both because of the relatively high level of non-response </w:t>
      </w:r>
      <w:r w:rsidR="008718E5">
        <w:rPr>
          <w:rFonts w:ascii="Century Gothic" w:hAnsi="Century Gothic"/>
          <w:sz w:val="21"/>
          <w:szCs w:val="21"/>
        </w:rPr>
        <w:t xml:space="preserve">to the income question </w:t>
      </w:r>
      <w:r w:rsidRPr="0033211E">
        <w:rPr>
          <w:rFonts w:ascii="Century Gothic" w:hAnsi="Century Gothic"/>
          <w:sz w:val="21"/>
          <w:szCs w:val="21"/>
        </w:rPr>
        <w:t>(9.7 per cent in the 2013 census)</w:t>
      </w:r>
      <w:r w:rsidRPr="0033211E">
        <w:rPr>
          <w:rStyle w:val="FootnoteReference"/>
          <w:rFonts w:ascii="Century Gothic" w:hAnsi="Century Gothic"/>
          <w:sz w:val="21"/>
          <w:szCs w:val="21"/>
        </w:rPr>
        <w:footnoteReference w:id="16"/>
      </w:r>
      <w:r w:rsidRPr="0033211E">
        <w:rPr>
          <w:rFonts w:ascii="Century Gothic" w:hAnsi="Century Gothic"/>
          <w:sz w:val="21"/>
          <w:szCs w:val="21"/>
        </w:rPr>
        <w:t>, and because the information is collected as income bands rather than in actual dollars</w:t>
      </w:r>
      <w:r w:rsidR="008718E5">
        <w:rPr>
          <w:rStyle w:val="FootnoteReference"/>
          <w:rFonts w:ascii="Century Gothic" w:hAnsi="Century Gothic"/>
          <w:sz w:val="21"/>
          <w:szCs w:val="21"/>
        </w:rPr>
        <w:footnoteReference w:id="17"/>
      </w:r>
      <w:r w:rsidRPr="0033211E">
        <w:rPr>
          <w:rFonts w:ascii="Century Gothic" w:hAnsi="Century Gothic"/>
          <w:sz w:val="21"/>
          <w:szCs w:val="21"/>
        </w:rPr>
        <w:t>.</w:t>
      </w:r>
      <w:r w:rsidRPr="0033211E">
        <w:rPr>
          <w:rFonts w:ascii="Century Gothic" w:hAnsi="Century Gothic" w:cs="Helvetica"/>
          <w:sz w:val="21"/>
          <w:szCs w:val="21"/>
          <w:shd w:val="clear" w:color="auto" w:fill="FFFFFF"/>
        </w:rPr>
        <w:t xml:space="preserve"> </w:t>
      </w:r>
    </w:p>
    <w:p w14:paraId="09963A2D" w14:textId="2299AD81" w:rsidR="00A853EB" w:rsidRDefault="00A853EB" w:rsidP="00A853EB">
      <w:pPr>
        <w:spacing w:line="360" w:lineRule="auto"/>
        <w:rPr>
          <w:rFonts w:ascii="Century Gothic" w:hAnsi="Century Gothic" w:cs="Helvetica"/>
          <w:sz w:val="21"/>
          <w:szCs w:val="21"/>
          <w:shd w:val="clear" w:color="auto" w:fill="FFFFFF"/>
        </w:rPr>
      </w:pPr>
      <w:r>
        <w:rPr>
          <w:rFonts w:ascii="Century Gothic" w:hAnsi="Century Gothic" w:cs="Helvetica"/>
          <w:sz w:val="21"/>
          <w:szCs w:val="21"/>
          <w:shd w:val="clear" w:color="auto" w:fill="FFFFFF"/>
        </w:rPr>
        <w:t xml:space="preserve">Earnings are </w:t>
      </w:r>
      <w:r w:rsidR="00251989">
        <w:rPr>
          <w:rFonts w:ascii="Century Gothic" w:hAnsi="Century Gothic" w:cs="Helvetica"/>
          <w:sz w:val="21"/>
          <w:szCs w:val="21"/>
          <w:shd w:val="clear" w:color="auto" w:fill="FFFFFF"/>
        </w:rPr>
        <w:t>affected by a range of factors, some of which relate to individuals (e.g., experience, skills, training</w:t>
      </w:r>
      <w:r w:rsidR="000F0DAE">
        <w:rPr>
          <w:rFonts w:ascii="Century Gothic" w:hAnsi="Century Gothic" w:cs="Helvetica"/>
          <w:sz w:val="21"/>
          <w:szCs w:val="21"/>
          <w:shd w:val="clear" w:color="auto" w:fill="FFFFFF"/>
        </w:rPr>
        <w:t>, caregiving responsibilities</w:t>
      </w:r>
      <w:r w:rsidR="00251989">
        <w:rPr>
          <w:rFonts w:ascii="Century Gothic" w:hAnsi="Century Gothic" w:cs="Helvetica"/>
          <w:sz w:val="21"/>
          <w:szCs w:val="21"/>
          <w:shd w:val="clear" w:color="auto" w:fill="FFFFFF"/>
        </w:rPr>
        <w:t>); some of which relate to the labour market environment (</w:t>
      </w:r>
      <w:proofErr w:type="spellStart"/>
      <w:r w:rsidR="00251989">
        <w:rPr>
          <w:rFonts w:ascii="Century Gothic" w:hAnsi="Century Gothic" w:cs="Helvetica"/>
          <w:sz w:val="21"/>
          <w:szCs w:val="21"/>
          <w:shd w:val="clear" w:color="auto" w:fill="FFFFFF"/>
        </w:rPr>
        <w:t>e.g</w:t>
      </w:r>
      <w:proofErr w:type="spellEnd"/>
      <w:r w:rsidR="00251989">
        <w:rPr>
          <w:rFonts w:ascii="Century Gothic" w:hAnsi="Century Gothic" w:cs="Helvetica"/>
          <w:sz w:val="21"/>
          <w:szCs w:val="21"/>
          <w:shd w:val="clear" w:color="auto" w:fill="FFFFFF"/>
        </w:rPr>
        <w:t xml:space="preserve">, job availability; employment conditions; employer discrimination); and some of which are more structural in </w:t>
      </w:r>
      <w:r w:rsidR="00251989" w:rsidRPr="000F0DAE">
        <w:rPr>
          <w:rFonts w:ascii="Century Gothic" w:hAnsi="Century Gothic" w:cs="Helvetica"/>
          <w:sz w:val="21"/>
          <w:szCs w:val="21"/>
          <w:shd w:val="clear" w:color="auto" w:fill="FFFFFF"/>
        </w:rPr>
        <w:t xml:space="preserve">nature (e.g., </w:t>
      </w:r>
      <w:r w:rsidR="000F0DAE" w:rsidRPr="000F0DAE">
        <w:rPr>
          <w:rFonts w:ascii="Century Gothic" w:hAnsi="Century Gothic" w:cs="Helvetica"/>
          <w:sz w:val="21"/>
          <w:szCs w:val="21"/>
          <w:shd w:val="clear" w:color="auto" w:fill="FFFFFF"/>
        </w:rPr>
        <w:t>regional</w:t>
      </w:r>
      <w:r w:rsidR="000F0DAE">
        <w:rPr>
          <w:rFonts w:ascii="Century Gothic" w:hAnsi="Century Gothic" w:cs="Helvetica"/>
          <w:sz w:val="21"/>
          <w:szCs w:val="21"/>
          <w:shd w:val="clear" w:color="auto" w:fill="FFFFFF"/>
        </w:rPr>
        <w:t xml:space="preserve"> economies</w:t>
      </w:r>
      <w:r w:rsidR="00251989">
        <w:rPr>
          <w:rFonts w:ascii="Century Gothic" w:hAnsi="Century Gothic" w:cs="Helvetica"/>
          <w:sz w:val="21"/>
          <w:szCs w:val="21"/>
          <w:shd w:val="clear" w:color="auto" w:fill="FFFFFF"/>
        </w:rPr>
        <w:t>).</w:t>
      </w:r>
      <w:r>
        <w:rPr>
          <w:rFonts w:ascii="Century Gothic" w:hAnsi="Century Gothic" w:cs="Helvetica"/>
          <w:sz w:val="21"/>
          <w:szCs w:val="21"/>
          <w:shd w:val="clear" w:color="auto" w:fill="FFFFFF"/>
        </w:rPr>
        <w:t xml:space="preserve"> In </w:t>
      </w:r>
      <w:proofErr w:type="spellStart"/>
      <w:r>
        <w:rPr>
          <w:rFonts w:ascii="Century Gothic" w:hAnsi="Century Gothic" w:cs="Helvetica"/>
          <w:sz w:val="21"/>
          <w:szCs w:val="21"/>
          <w:shd w:val="clear" w:color="auto" w:fill="FFFFFF"/>
        </w:rPr>
        <w:t>Aotearoa</w:t>
      </w:r>
      <w:proofErr w:type="spellEnd"/>
      <w:r w:rsidR="000F0DAE">
        <w:rPr>
          <w:rFonts w:ascii="Century Gothic" w:hAnsi="Century Gothic" w:cs="Helvetica"/>
          <w:sz w:val="21"/>
          <w:szCs w:val="21"/>
          <w:shd w:val="clear" w:color="auto" w:fill="FFFFFF"/>
        </w:rPr>
        <w:t xml:space="preserve"> </w:t>
      </w:r>
      <w:r>
        <w:rPr>
          <w:rFonts w:ascii="Century Gothic" w:hAnsi="Century Gothic" w:cs="Helvetica"/>
          <w:sz w:val="21"/>
          <w:szCs w:val="21"/>
          <w:shd w:val="clear" w:color="auto" w:fill="FFFFFF"/>
        </w:rPr>
        <w:t xml:space="preserve">there </w:t>
      </w:r>
      <w:r w:rsidR="000F0DAE">
        <w:rPr>
          <w:rFonts w:ascii="Century Gothic" w:hAnsi="Century Gothic" w:cs="Helvetica"/>
          <w:sz w:val="21"/>
          <w:szCs w:val="21"/>
          <w:shd w:val="clear" w:color="auto" w:fill="FFFFFF"/>
        </w:rPr>
        <w:t>are well-known age, sex, ethnic and regional disparities in labour market outcomes and earnings.</w:t>
      </w:r>
      <w:r>
        <w:rPr>
          <w:rFonts w:ascii="Century Gothic" w:hAnsi="Century Gothic" w:cs="Helvetica"/>
          <w:sz w:val="21"/>
          <w:szCs w:val="21"/>
          <w:shd w:val="clear" w:color="auto" w:fill="FFFFFF"/>
        </w:rPr>
        <w:t xml:space="preserve"> Thus, in Northland and </w:t>
      </w:r>
      <w:proofErr w:type="spellStart"/>
      <w:r>
        <w:rPr>
          <w:rFonts w:ascii="Century Gothic" w:hAnsi="Century Gothic" w:cs="Helvetica"/>
          <w:sz w:val="21"/>
          <w:szCs w:val="21"/>
          <w:shd w:val="clear" w:color="auto" w:fill="FFFFFF"/>
        </w:rPr>
        <w:t>Gisborne</w:t>
      </w:r>
      <w:proofErr w:type="spellEnd"/>
      <w:r>
        <w:rPr>
          <w:rFonts w:ascii="Century Gothic" w:hAnsi="Century Gothic" w:cs="Helvetica"/>
          <w:sz w:val="21"/>
          <w:szCs w:val="21"/>
          <w:shd w:val="clear" w:color="auto" w:fill="FFFFFF"/>
        </w:rPr>
        <w:t xml:space="preserve"> regions, median earnings are much lower than in Wellington and Auckland, and in all regions, earnings are higher for men than for women; for Europeans and Asians than for Māori and Pacific peoples; and for </w:t>
      </w:r>
      <w:proofErr w:type="spellStart"/>
      <w:r>
        <w:rPr>
          <w:rFonts w:ascii="Century Gothic" w:hAnsi="Century Gothic" w:cs="Helvetica"/>
          <w:sz w:val="21"/>
          <w:szCs w:val="21"/>
          <w:shd w:val="clear" w:color="auto" w:fill="FFFFFF"/>
        </w:rPr>
        <w:t>pakeke</w:t>
      </w:r>
      <w:proofErr w:type="spellEnd"/>
      <w:r>
        <w:rPr>
          <w:rFonts w:ascii="Century Gothic" w:hAnsi="Century Gothic" w:cs="Helvetica"/>
          <w:sz w:val="21"/>
          <w:szCs w:val="21"/>
          <w:shd w:val="clear" w:color="auto" w:fill="FFFFFF"/>
        </w:rPr>
        <w:t xml:space="preserve"> than for </w:t>
      </w:r>
      <w:proofErr w:type="spellStart"/>
      <w:r>
        <w:rPr>
          <w:rFonts w:ascii="Century Gothic" w:hAnsi="Century Gothic" w:cs="Helvetica"/>
          <w:sz w:val="21"/>
          <w:szCs w:val="21"/>
          <w:shd w:val="clear" w:color="auto" w:fill="FFFFFF"/>
        </w:rPr>
        <w:t>taiohi</w:t>
      </w:r>
      <w:proofErr w:type="spellEnd"/>
      <w:r>
        <w:rPr>
          <w:rFonts w:ascii="Century Gothic" w:hAnsi="Century Gothic" w:cs="Helvetica"/>
          <w:sz w:val="21"/>
          <w:szCs w:val="21"/>
          <w:shd w:val="clear" w:color="auto" w:fill="FFFFFF"/>
        </w:rPr>
        <w:t xml:space="preserve">. </w:t>
      </w:r>
    </w:p>
    <w:p w14:paraId="104B34E0" w14:textId="6A69BF14" w:rsidR="00F62FC8" w:rsidRDefault="00A853EB" w:rsidP="00A853EB">
      <w:pPr>
        <w:spacing w:line="360" w:lineRule="auto"/>
        <w:rPr>
          <w:rFonts w:ascii="Century Gothic" w:hAnsi="Century Gothic" w:cs="Helvetica"/>
          <w:sz w:val="21"/>
          <w:szCs w:val="21"/>
          <w:shd w:val="clear" w:color="auto" w:fill="FFFFFF"/>
        </w:rPr>
      </w:pPr>
      <w:r>
        <w:rPr>
          <w:rFonts w:ascii="Century Gothic" w:hAnsi="Century Gothic" w:cs="Helvetica"/>
          <w:sz w:val="21"/>
          <w:szCs w:val="21"/>
          <w:shd w:val="clear" w:color="auto" w:fill="FFFFFF"/>
        </w:rPr>
        <w:t xml:space="preserve">Bearing in mind these complexities, </w:t>
      </w:r>
      <w:r w:rsidR="00F62FC8">
        <w:rPr>
          <w:rFonts w:ascii="Century Gothic" w:hAnsi="Century Gothic" w:cs="Helvetica"/>
          <w:sz w:val="21"/>
          <w:szCs w:val="21"/>
          <w:shd w:val="clear" w:color="auto" w:fill="FFFFFF"/>
        </w:rPr>
        <w:t>Table 5.1</w:t>
      </w:r>
      <w:r w:rsidR="0033211E">
        <w:rPr>
          <w:rFonts w:ascii="Century Gothic" w:hAnsi="Century Gothic" w:cs="Helvetica"/>
          <w:sz w:val="21"/>
          <w:szCs w:val="21"/>
          <w:shd w:val="clear" w:color="auto" w:fill="FFFFFF"/>
        </w:rPr>
        <w:t xml:space="preserve"> shows the </w:t>
      </w:r>
      <w:r w:rsidR="008718E5">
        <w:rPr>
          <w:rFonts w:ascii="Century Gothic" w:hAnsi="Century Gothic" w:cs="Helvetica"/>
          <w:sz w:val="21"/>
          <w:szCs w:val="21"/>
          <w:shd w:val="clear" w:color="auto" w:fill="FFFFFF"/>
        </w:rPr>
        <w:t xml:space="preserve">reported </w:t>
      </w:r>
      <w:r w:rsidR="0033211E">
        <w:rPr>
          <w:rFonts w:ascii="Century Gothic" w:hAnsi="Century Gothic" w:cs="Helvetica"/>
          <w:sz w:val="21"/>
          <w:szCs w:val="21"/>
          <w:shd w:val="clear" w:color="auto" w:fill="FFFFFF"/>
        </w:rPr>
        <w:t>total personal income o</w:t>
      </w:r>
      <w:r w:rsidR="00F62FC8">
        <w:rPr>
          <w:rFonts w:ascii="Century Gothic" w:hAnsi="Century Gothic" w:cs="Helvetica"/>
          <w:sz w:val="21"/>
          <w:szCs w:val="21"/>
          <w:shd w:val="clear" w:color="auto" w:fill="FFFFFF"/>
        </w:rPr>
        <w:t xml:space="preserve">f </w:t>
      </w:r>
      <w:proofErr w:type="spellStart"/>
      <w:r w:rsidR="008718E5">
        <w:rPr>
          <w:rFonts w:ascii="Century Gothic" w:hAnsi="Century Gothic" w:cs="Helvetica"/>
          <w:sz w:val="21"/>
          <w:szCs w:val="21"/>
          <w:shd w:val="clear" w:color="auto" w:fill="FFFFFF"/>
        </w:rPr>
        <w:t>Ngāi</w:t>
      </w:r>
      <w:proofErr w:type="spellEnd"/>
      <w:r w:rsidR="008718E5">
        <w:rPr>
          <w:rFonts w:ascii="Century Gothic" w:hAnsi="Century Gothic" w:cs="Helvetica"/>
          <w:sz w:val="21"/>
          <w:szCs w:val="21"/>
          <w:shd w:val="clear" w:color="auto" w:fill="FFFFFF"/>
        </w:rPr>
        <w:t xml:space="preserve"> </w:t>
      </w:r>
      <w:proofErr w:type="spellStart"/>
      <w:r w:rsidR="008718E5">
        <w:rPr>
          <w:rFonts w:ascii="Century Gothic" w:hAnsi="Century Gothic" w:cs="Helvetica"/>
          <w:sz w:val="21"/>
          <w:szCs w:val="21"/>
          <w:shd w:val="clear" w:color="auto" w:fill="FFFFFF"/>
        </w:rPr>
        <w:t>Tāmanuhiri</w:t>
      </w:r>
      <w:proofErr w:type="spellEnd"/>
      <w:r w:rsidR="008718E5">
        <w:rPr>
          <w:rFonts w:ascii="Century Gothic" w:hAnsi="Century Gothic" w:cs="Helvetica"/>
          <w:sz w:val="21"/>
          <w:szCs w:val="21"/>
          <w:shd w:val="clear" w:color="auto" w:fill="FFFFFF"/>
        </w:rPr>
        <w:t xml:space="preserve"> </w:t>
      </w:r>
      <w:r w:rsidR="00F62FC8">
        <w:rPr>
          <w:rFonts w:ascii="Century Gothic" w:hAnsi="Century Gothic" w:cs="Helvetica"/>
          <w:sz w:val="21"/>
          <w:szCs w:val="21"/>
          <w:shd w:val="clear" w:color="auto" w:fill="FFFFFF"/>
        </w:rPr>
        <w:t>adults</w:t>
      </w:r>
      <w:r w:rsidR="008718E5">
        <w:rPr>
          <w:rFonts w:ascii="Century Gothic" w:hAnsi="Century Gothic" w:cs="Helvetica"/>
          <w:sz w:val="21"/>
          <w:szCs w:val="21"/>
          <w:shd w:val="clear" w:color="auto" w:fill="FFFFFF"/>
        </w:rPr>
        <w:t xml:space="preserve">, both nationally and in </w:t>
      </w:r>
      <w:proofErr w:type="spellStart"/>
      <w:r w:rsidR="008718E5">
        <w:rPr>
          <w:rFonts w:ascii="Century Gothic" w:hAnsi="Century Gothic" w:cs="Helvetica"/>
          <w:sz w:val="21"/>
          <w:szCs w:val="21"/>
          <w:shd w:val="clear" w:color="auto" w:fill="FFFFFF"/>
        </w:rPr>
        <w:t>Gisborne</w:t>
      </w:r>
      <w:proofErr w:type="spellEnd"/>
      <w:r w:rsidR="008718E5">
        <w:rPr>
          <w:rFonts w:ascii="Century Gothic" w:hAnsi="Century Gothic" w:cs="Helvetica"/>
          <w:sz w:val="21"/>
          <w:szCs w:val="21"/>
          <w:shd w:val="clear" w:color="auto" w:fill="FFFFFF"/>
        </w:rPr>
        <w:t xml:space="preserve"> specifically, </w:t>
      </w:r>
      <w:r w:rsidR="00F62FC8">
        <w:rPr>
          <w:rFonts w:ascii="Century Gothic" w:hAnsi="Century Gothic" w:cs="Helvetica"/>
          <w:sz w:val="21"/>
          <w:szCs w:val="21"/>
          <w:shd w:val="clear" w:color="auto" w:fill="FFFFFF"/>
        </w:rPr>
        <w:t xml:space="preserve">compared with the overall Māori </w:t>
      </w:r>
      <w:r w:rsidR="008718E5">
        <w:rPr>
          <w:rFonts w:ascii="Century Gothic" w:hAnsi="Century Gothic" w:cs="Helvetica"/>
          <w:sz w:val="21"/>
          <w:szCs w:val="21"/>
          <w:shd w:val="clear" w:color="auto" w:fill="FFFFFF"/>
        </w:rPr>
        <w:t xml:space="preserve">descent population. </w:t>
      </w:r>
      <w:r>
        <w:rPr>
          <w:rFonts w:ascii="Century Gothic" w:hAnsi="Century Gothic" w:cs="Helvetica"/>
          <w:sz w:val="21"/>
          <w:szCs w:val="21"/>
          <w:shd w:val="clear" w:color="auto" w:fill="FFFFFF"/>
        </w:rPr>
        <w:t>The</w:t>
      </w:r>
      <w:r w:rsidR="008718E5">
        <w:rPr>
          <w:rFonts w:ascii="Century Gothic" w:hAnsi="Century Gothic" w:cs="Helvetica"/>
          <w:sz w:val="21"/>
          <w:szCs w:val="21"/>
          <w:shd w:val="clear" w:color="auto" w:fill="FFFFFF"/>
        </w:rPr>
        <w:t xml:space="preserve"> small numbers prevent us from showing distributions for </w:t>
      </w:r>
      <w:proofErr w:type="spellStart"/>
      <w:r w:rsidR="008718E5">
        <w:rPr>
          <w:rFonts w:ascii="Century Gothic" w:hAnsi="Century Gothic" w:cs="Helvetica"/>
          <w:sz w:val="21"/>
          <w:szCs w:val="21"/>
          <w:shd w:val="clear" w:color="auto" w:fill="FFFFFF"/>
        </w:rPr>
        <w:t>Ngāi</w:t>
      </w:r>
      <w:proofErr w:type="spellEnd"/>
      <w:r w:rsidR="008718E5">
        <w:rPr>
          <w:rFonts w:ascii="Century Gothic" w:hAnsi="Century Gothic" w:cs="Helvetica"/>
          <w:sz w:val="21"/>
          <w:szCs w:val="21"/>
          <w:shd w:val="clear" w:color="auto" w:fill="FFFFFF"/>
        </w:rPr>
        <w:t xml:space="preserve"> </w:t>
      </w:r>
      <w:proofErr w:type="spellStart"/>
      <w:r w:rsidR="008718E5">
        <w:rPr>
          <w:rFonts w:ascii="Century Gothic" w:hAnsi="Century Gothic" w:cs="Helvetica"/>
          <w:sz w:val="21"/>
          <w:szCs w:val="21"/>
          <w:shd w:val="clear" w:color="auto" w:fill="FFFFFF"/>
        </w:rPr>
        <w:t>Tāmanuhiri</w:t>
      </w:r>
      <w:proofErr w:type="spellEnd"/>
      <w:r w:rsidR="008718E5">
        <w:rPr>
          <w:rFonts w:ascii="Century Gothic" w:hAnsi="Century Gothic" w:cs="Helvetica"/>
          <w:sz w:val="21"/>
          <w:szCs w:val="21"/>
          <w:shd w:val="clear" w:color="auto" w:fill="FFFFFF"/>
        </w:rPr>
        <w:t xml:space="preserve"> </w:t>
      </w:r>
      <w:proofErr w:type="spellStart"/>
      <w:proofErr w:type="gramStart"/>
      <w:r w:rsidR="008718E5">
        <w:rPr>
          <w:rFonts w:ascii="Century Gothic" w:hAnsi="Century Gothic" w:cs="Helvetica"/>
          <w:sz w:val="21"/>
          <w:szCs w:val="21"/>
          <w:shd w:val="clear" w:color="auto" w:fill="FFFFFF"/>
        </w:rPr>
        <w:t>te</w:t>
      </w:r>
      <w:proofErr w:type="spellEnd"/>
      <w:proofErr w:type="gramEnd"/>
      <w:r w:rsidR="008718E5">
        <w:rPr>
          <w:rFonts w:ascii="Century Gothic" w:hAnsi="Century Gothic" w:cs="Helvetica"/>
          <w:sz w:val="21"/>
          <w:szCs w:val="21"/>
          <w:shd w:val="clear" w:color="auto" w:fill="FFFFFF"/>
        </w:rPr>
        <w:t xml:space="preserve"> reo speakers.</w:t>
      </w:r>
      <w:r>
        <w:rPr>
          <w:rFonts w:ascii="Century Gothic" w:hAnsi="Century Gothic" w:cs="Helvetica"/>
          <w:sz w:val="21"/>
          <w:szCs w:val="21"/>
          <w:shd w:val="clear" w:color="auto" w:fill="FFFFFF"/>
        </w:rPr>
        <w:t xml:space="preserve"> In 2013, the distribution of </w:t>
      </w:r>
      <w:proofErr w:type="spellStart"/>
      <w:r>
        <w:rPr>
          <w:rFonts w:ascii="Century Gothic" w:hAnsi="Century Gothic" w:cs="Helvetica"/>
          <w:sz w:val="21"/>
          <w:szCs w:val="21"/>
          <w:shd w:val="clear" w:color="auto" w:fill="FFFFFF"/>
        </w:rPr>
        <w:t>Ngāi</w:t>
      </w:r>
      <w:proofErr w:type="spellEnd"/>
      <w:r>
        <w:rPr>
          <w:rFonts w:ascii="Century Gothic" w:hAnsi="Century Gothic" w:cs="Helvetica"/>
          <w:sz w:val="21"/>
          <w:szCs w:val="21"/>
          <w:shd w:val="clear" w:color="auto" w:fill="FFFFFF"/>
        </w:rPr>
        <w:t xml:space="preserve"> </w:t>
      </w:r>
      <w:proofErr w:type="spellStart"/>
      <w:r>
        <w:rPr>
          <w:rFonts w:ascii="Century Gothic" w:hAnsi="Century Gothic" w:cs="Helvetica"/>
          <w:sz w:val="21"/>
          <w:szCs w:val="21"/>
          <w:shd w:val="clear" w:color="auto" w:fill="FFFFFF"/>
        </w:rPr>
        <w:t>Tāmanuhiri</w:t>
      </w:r>
      <w:proofErr w:type="spellEnd"/>
      <w:r>
        <w:rPr>
          <w:rFonts w:ascii="Century Gothic" w:hAnsi="Century Gothic" w:cs="Helvetica"/>
          <w:sz w:val="21"/>
          <w:szCs w:val="21"/>
          <w:shd w:val="clear" w:color="auto" w:fill="FFFFFF"/>
        </w:rPr>
        <w:t xml:space="preserve"> income levels nationally closely reflected that for Māori generally. However, </w:t>
      </w:r>
      <w:proofErr w:type="spellStart"/>
      <w:r>
        <w:rPr>
          <w:rFonts w:ascii="Century Gothic" w:hAnsi="Century Gothic" w:cs="Helvetica"/>
          <w:sz w:val="21"/>
          <w:szCs w:val="21"/>
          <w:shd w:val="clear" w:color="auto" w:fill="FFFFFF"/>
        </w:rPr>
        <w:t>Ngāi</w:t>
      </w:r>
      <w:proofErr w:type="spellEnd"/>
      <w:r>
        <w:rPr>
          <w:rFonts w:ascii="Century Gothic" w:hAnsi="Century Gothic" w:cs="Helvetica"/>
          <w:sz w:val="21"/>
          <w:szCs w:val="21"/>
          <w:shd w:val="clear" w:color="auto" w:fill="FFFFFF"/>
        </w:rPr>
        <w:t xml:space="preserve"> </w:t>
      </w:r>
      <w:proofErr w:type="spellStart"/>
      <w:r>
        <w:rPr>
          <w:rFonts w:ascii="Century Gothic" w:hAnsi="Century Gothic" w:cs="Helvetica"/>
          <w:sz w:val="21"/>
          <w:szCs w:val="21"/>
          <w:shd w:val="clear" w:color="auto" w:fill="FFFFFF"/>
        </w:rPr>
        <w:t>Tāmanuhiri</w:t>
      </w:r>
      <w:proofErr w:type="spellEnd"/>
      <w:r>
        <w:rPr>
          <w:rFonts w:ascii="Century Gothic" w:hAnsi="Century Gothic" w:cs="Helvetica"/>
          <w:sz w:val="21"/>
          <w:szCs w:val="21"/>
          <w:shd w:val="clear" w:color="auto" w:fill="FFFFFF"/>
        </w:rPr>
        <w:t xml:space="preserve"> resident in </w:t>
      </w:r>
      <w:proofErr w:type="spellStart"/>
      <w:r>
        <w:rPr>
          <w:rFonts w:ascii="Century Gothic" w:hAnsi="Century Gothic" w:cs="Helvetica"/>
          <w:sz w:val="21"/>
          <w:szCs w:val="21"/>
          <w:shd w:val="clear" w:color="auto" w:fill="FFFFFF"/>
        </w:rPr>
        <w:t>Gisborne</w:t>
      </w:r>
      <w:proofErr w:type="spellEnd"/>
      <w:r>
        <w:rPr>
          <w:rFonts w:ascii="Century Gothic" w:hAnsi="Century Gothic" w:cs="Helvetica"/>
          <w:sz w:val="21"/>
          <w:szCs w:val="21"/>
          <w:shd w:val="clear" w:color="auto" w:fill="FFFFFF"/>
        </w:rPr>
        <w:t xml:space="preserve">, income levels were significantly lower, with just over one third (34.8 per cent) earning in excess of $30k in the last year, compared to about 42 per cent of </w:t>
      </w:r>
      <w:proofErr w:type="spellStart"/>
      <w:r>
        <w:rPr>
          <w:rFonts w:ascii="Century Gothic" w:hAnsi="Century Gothic" w:cs="Helvetica"/>
          <w:sz w:val="21"/>
          <w:szCs w:val="21"/>
          <w:shd w:val="clear" w:color="auto" w:fill="FFFFFF"/>
        </w:rPr>
        <w:t>Ngāi</w:t>
      </w:r>
      <w:proofErr w:type="spellEnd"/>
      <w:r>
        <w:rPr>
          <w:rFonts w:ascii="Century Gothic" w:hAnsi="Century Gothic" w:cs="Helvetica"/>
          <w:sz w:val="21"/>
          <w:szCs w:val="21"/>
          <w:shd w:val="clear" w:color="auto" w:fill="FFFFFF"/>
        </w:rPr>
        <w:t xml:space="preserve"> </w:t>
      </w:r>
      <w:proofErr w:type="spellStart"/>
      <w:r>
        <w:rPr>
          <w:rFonts w:ascii="Century Gothic" w:hAnsi="Century Gothic" w:cs="Helvetica"/>
          <w:sz w:val="21"/>
          <w:szCs w:val="21"/>
          <w:shd w:val="clear" w:color="auto" w:fill="FFFFFF"/>
        </w:rPr>
        <w:t>Tāmanuhiri</w:t>
      </w:r>
      <w:proofErr w:type="spellEnd"/>
      <w:r>
        <w:rPr>
          <w:rFonts w:ascii="Century Gothic" w:hAnsi="Century Gothic" w:cs="Helvetica"/>
          <w:sz w:val="21"/>
          <w:szCs w:val="21"/>
          <w:shd w:val="clear" w:color="auto" w:fill="FFFFFF"/>
        </w:rPr>
        <w:t xml:space="preserve"> nationally. This is perhaps unsurprising given that </w:t>
      </w:r>
      <w:proofErr w:type="spellStart"/>
      <w:r>
        <w:rPr>
          <w:rFonts w:ascii="Century Gothic" w:hAnsi="Century Gothic" w:cs="Helvetica"/>
          <w:sz w:val="21"/>
          <w:szCs w:val="21"/>
          <w:shd w:val="clear" w:color="auto" w:fill="FFFFFF"/>
        </w:rPr>
        <w:t>Gisborne</w:t>
      </w:r>
      <w:proofErr w:type="spellEnd"/>
      <w:r>
        <w:rPr>
          <w:rFonts w:ascii="Century Gothic" w:hAnsi="Century Gothic" w:cs="Helvetica"/>
          <w:sz w:val="21"/>
          <w:szCs w:val="21"/>
          <w:shd w:val="clear" w:color="auto" w:fill="FFFFFF"/>
        </w:rPr>
        <w:t xml:space="preserve"> region has the second lowest regional median income, after Northland (in 2013 the median total personal income was $23k for Northland; $24,4k for </w:t>
      </w:r>
      <w:proofErr w:type="spellStart"/>
      <w:r>
        <w:rPr>
          <w:rFonts w:ascii="Century Gothic" w:hAnsi="Century Gothic" w:cs="Helvetica"/>
          <w:sz w:val="21"/>
          <w:szCs w:val="21"/>
          <w:shd w:val="clear" w:color="auto" w:fill="FFFFFF"/>
        </w:rPr>
        <w:t>Gisborne</w:t>
      </w:r>
      <w:proofErr w:type="spellEnd"/>
      <w:r>
        <w:rPr>
          <w:rFonts w:ascii="Century Gothic" w:hAnsi="Century Gothic" w:cs="Helvetica"/>
          <w:sz w:val="21"/>
          <w:szCs w:val="21"/>
          <w:shd w:val="clear" w:color="auto" w:fill="FFFFFF"/>
        </w:rPr>
        <w:t>; and $28.5k nationally</w:t>
      </w:r>
      <w:r w:rsidR="001D74F8">
        <w:rPr>
          <w:rStyle w:val="FootnoteReference"/>
          <w:rFonts w:ascii="Century Gothic" w:hAnsi="Century Gothic" w:cs="Helvetica"/>
          <w:sz w:val="21"/>
          <w:szCs w:val="21"/>
          <w:shd w:val="clear" w:color="auto" w:fill="FFFFFF"/>
        </w:rPr>
        <w:footnoteReference w:id="18"/>
      </w:r>
      <w:r>
        <w:rPr>
          <w:rFonts w:ascii="Century Gothic" w:hAnsi="Century Gothic" w:cs="Helvetica"/>
          <w:sz w:val="21"/>
          <w:szCs w:val="21"/>
          <w:shd w:val="clear" w:color="auto" w:fill="FFFFFF"/>
        </w:rPr>
        <w:t xml:space="preserve">. </w:t>
      </w:r>
    </w:p>
    <w:p w14:paraId="75D445FF" w14:textId="347E0DF3" w:rsidR="001D74F8" w:rsidRDefault="001D74F8" w:rsidP="00A853EB">
      <w:pPr>
        <w:spacing w:line="360" w:lineRule="auto"/>
        <w:rPr>
          <w:rFonts w:ascii="Century Gothic" w:hAnsi="Century Gothic" w:cs="Helvetica"/>
          <w:sz w:val="21"/>
          <w:szCs w:val="21"/>
          <w:shd w:val="clear" w:color="auto" w:fill="FFFFFF"/>
        </w:rPr>
      </w:pPr>
    </w:p>
    <w:p w14:paraId="62EA02CF" w14:textId="4BCE13C4" w:rsidR="001D74F8" w:rsidRDefault="001D74F8" w:rsidP="00A853EB">
      <w:pPr>
        <w:spacing w:line="360" w:lineRule="auto"/>
        <w:rPr>
          <w:rFonts w:ascii="Century Gothic" w:hAnsi="Century Gothic" w:cs="Helvetica"/>
          <w:sz w:val="21"/>
          <w:szCs w:val="21"/>
          <w:shd w:val="clear" w:color="auto" w:fill="FFFFFF"/>
        </w:rPr>
      </w:pPr>
    </w:p>
    <w:p w14:paraId="3BD9201E" w14:textId="5735C01A" w:rsidR="001D74F8" w:rsidRDefault="001D74F8" w:rsidP="00A853EB">
      <w:pPr>
        <w:spacing w:line="360" w:lineRule="auto"/>
        <w:rPr>
          <w:rFonts w:ascii="Century Gothic" w:hAnsi="Century Gothic" w:cs="Helvetica"/>
          <w:sz w:val="21"/>
          <w:szCs w:val="21"/>
          <w:shd w:val="clear" w:color="auto" w:fill="FFFFFF"/>
        </w:rPr>
      </w:pPr>
    </w:p>
    <w:p w14:paraId="44178308" w14:textId="30DCD2B8" w:rsidR="001D74F8" w:rsidRDefault="001D74F8" w:rsidP="00A853EB">
      <w:pPr>
        <w:spacing w:line="360" w:lineRule="auto"/>
        <w:rPr>
          <w:rFonts w:ascii="Century Gothic" w:hAnsi="Century Gothic" w:cs="Helvetica"/>
          <w:sz w:val="21"/>
          <w:szCs w:val="21"/>
          <w:shd w:val="clear" w:color="auto" w:fill="FFFFFF"/>
        </w:rPr>
      </w:pPr>
    </w:p>
    <w:p w14:paraId="228CB63C" w14:textId="14F44E80" w:rsidR="001D74F8" w:rsidRDefault="001D74F8" w:rsidP="00A853EB">
      <w:pPr>
        <w:spacing w:line="360" w:lineRule="auto"/>
        <w:rPr>
          <w:rFonts w:ascii="Century Gothic" w:hAnsi="Century Gothic" w:cs="Helvetica"/>
          <w:sz w:val="21"/>
          <w:szCs w:val="21"/>
          <w:shd w:val="clear" w:color="auto" w:fill="FFFFFF"/>
        </w:rPr>
      </w:pPr>
    </w:p>
    <w:p w14:paraId="7B743294" w14:textId="77777777" w:rsidR="001D74F8" w:rsidRPr="0033211E" w:rsidRDefault="001D74F8" w:rsidP="00A853EB">
      <w:pPr>
        <w:spacing w:line="360" w:lineRule="auto"/>
        <w:rPr>
          <w:rFonts w:ascii="Century Gothic" w:hAnsi="Century Gothic"/>
          <w:sz w:val="21"/>
          <w:szCs w:val="21"/>
        </w:rPr>
      </w:pPr>
    </w:p>
    <w:p w14:paraId="6188A047" w14:textId="55030187" w:rsidR="00457CAC" w:rsidRDefault="00F62FC8" w:rsidP="00F62FC8">
      <w:pPr>
        <w:spacing w:after="0" w:line="276" w:lineRule="auto"/>
        <w:rPr>
          <w:rFonts w:ascii="Century Gothic" w:hAnsi="Century Gothic"/>
          <w:b/>
          <w:bCs/>
          <w:color w:val="44546A"/>
          <w:sz w:val="20"/>
          <w:szCs w:val="20"/>
        </w:rPr>
      </w:pPr>
      <w:bookmarkStart w:id="53" w:name="_Toc491906362"/>
      <w:r w:rsidRPr="00EC703D">
        <w:rPr>
          <w:rFonts w:ascii="Century Gothic" w:hAnsi="Century Gothic"/>
          <w:b/>
          <w:bCs/>
          <w:color w:val="44546A"/>
          <w:sz w:val="20"/>
          <w:szCs w:val="20"/>
        </w:rPr>
        <w:lastRenderedPageBreak/>
        <w:t xml:space="preserve">Table </w:t>
      </w:r>
      <w:r w:rsidRPr="00EC703D">
        <w:rPr>
          <w:rFonts w:ascii="Century Gothic" w:hAnsi="Century Gothic"/>
          <w:b/>
          <w:bCs/>
          <w:color w:val="44546A"/>
          <w:sz w:val="20"/>
          <w:szCs w:val="20"/>
        </w:rPr>
        <w:fldChar w:fldCharType="begin"/>
      </w:r>
      <w:r w:rsidRPr="00EC703D">
        <w:rPr>
          <w:rFonts w:ascii="Century Gothic" w:hAnsi="Century Gothic"/>
          <w:b/>
          <w:bCs/>
          <w:color w:val="44546A"/>
          <w:sz w:val="20"/>
          <w:szCs w:val="20"/>
        </w:rPr>
        <w:instrText xml:space="preserve"> STYLEREF 1 \s </w:instrText>
      </w:r>
      <w:r w:rsidRPr="00EC703D">
        <w:rPr>
          <w:rFonts w:ascii="Century Gothic" w:hAnsi="Century Gothic"/>
          <w:b/>
          <w:bCs/>
          <w:color w:val="44546A"/>
          <w:sz w:val="20"/>
          <w:szCs w:val="20"/>
        </w:rPr>
        <w:fldChar w:fldCharType="separate"/>
      </w:r>
      <w:r w:rsidR="001470A9">
        <w:rPr>
          <w:rFonts w:ascii="Century Gothic" w:hAnsi="Century Gothic" w:hint="cs"/>
          <w:b/>
          <w:bCs/>
          <w:noProof/>
          <w:color w:val="44546A"/>
          <w:sz w:val="20"/>
          <w:szCs w:val="20"/>
          <w:cs/>
        </w:rPr>
        <w:t>‎</w:t>
      </w:r>
      <w:r w:rsidR="001470A9">
        <w:rPr>
          <w:rFonts w:ascii="Century Gothic" w:hAnsi="Century Gothic"/>
          <w:b/>
          <w:bCs/>
          <w:noProof/>
          <w:color w:val="44546A"/>
          <w:sz w:val="20"/>
          <w:szCs w:val="20"/>
        </w:rPr>
        <w:t>5</w:t>
      </w:r>
      <w:r w:rsidRPr="00EC703D">
        <w:rPr>
          <w:rFonts w:ascii="Century Gothic" w:hAnsi="Century Gothic"/>
          <w:b/>
          <w:bCs/>
          <w:color w:val="44546A"/>
          <w:sz w:val="20"/>
          <w:szCs w:val="20"/>
        </w:rPr>
        <w:fldChar w:fldCharType="end"/>
      </w:r>
      <w:r w:rsidRPr="00EC703D">
        <w:rPr>
          <w:rFonts w:ascii="Century Gothic" w:hAnsi="Century Gothic"/>
          <w:b/>
          <w:bCs/>
          <w:color w:val="44546A"/>
          <w:sz w:val="20"/>
          <w:szCs w:val="20"/>
        </w:rPr>
        <w:t>.</w:t>
      </w:r>
      <w:r w:rsidRPr="00EC703D">
        <w:rPr>
          <w:rFonts w:ascii="Century Gothic" w:hAnsi="Century Gothic"/>
          <w:b/>
          <w:bCs/>
          <w:color w:val="44546A"/>
          <w:sz w:val="20"/>
          <w:szCs w:val="20"/>
        </w:rPr>
        <w:fldChar w:fldCharType="begin"/>
      </w:r>
      <w:r w:rsidRPr="00EC703D">
        <w:rPr>
          <w:rFonts w:ascii="Century Gothic" w:hAnsi="Century Gothic"/>
          <w:b/>
          <w:bCs/>
          <w:color w:val="44546A"/>
          <w:sz w:val="20"/>
          <w:szCs w:val="20"/>
        </w:rPr>
        <w:instrText xml:space="preserve"> SEQ Table \* ARABIC \s 1 </w:instrText>
      </w:r>
      <w:r w:rsidRPr="00EC703D">
        <w:rPr>
          <w:rFonts w:ascii="Century Gothic" w:hAnsi="Century Gothic"/>
          <w:b/>
          <w:bCs/>
          <w:color w:val="44546A"/>
          <w:sz w:val="20"/>
          <w:szCs w:val="20"/>
        </w:rPr>
        <w:fldChar w:fldCharType="separate"/>
      </w:r>
      <w:r w:rsidR="001470A9">
        <w:rPr>
          <w:rFonts w:ascii="Century Gothic" w:hAnsi="Century Gothic"/>
          <w:b/>
          <w:bCs/>
          <w:noProof/>
          <w:color w:val="44546A"/>
          <w:sz w:val="20"/>
          <w:szCs w:val="20"/>
        </w:rPr>
        <w:t>1</w:t>
      </w:r>
      <w:r w:rsidRPr="00EC703D">
        <w:rPr>
          <w:rFonts w:ascii="Century Gothic" w:hAnsi="Century Gothic"/>
          <w:b/>
          <w:bCs/>
          <w:color w:val="44546A"/>
          <w:sz w:val="20"/>
          <w:szCs w:val="20"/>
        </w:rPr>
        <w:fldChar w:fldCharType="end"/>
      </w:r>
      <w:r w:rsidRPr="00EC703D">
        <w:rPr>
          <w:rFonts w:ascii="Century Gothic" w:hAnsi="Century Gothic"/>
          <w:b/>
          <w:bCs/>
          <w:color w:val="44546A"/>
          <w:sz w:val="20"/>
          <w:szCs w:val="20"/>
        </w:rPr>
        <w:t xml:space="preserve"> </w:t>
      </w:r>
      <w:r>
        <w:rPr>
          <w:rFonts w:ascii="Century Gothic" w:hAnsi="Century Gothic"/>
          <w:b/>
          <w:bCs/>
          <w:color w:val="44546A"/>
          <w:sz w:val="20"/>
          <w:szCs w:val="20"/>
        </w:rPr>
        <w:t xml:space="preserve">Personal income (grouped) </w:t>
      </w:r>
      <w:proofErr w:type="spellStart"/>
      <w:r>
        <w:rPr>
          <w:rFonts w:ascii="Century Gothic" w:hAnsi="Century Gothic"/>
          <w:b/>
          <w:bCs/>
          <w:color w:val="44546A"/>
          <w:sz w:val="20"/>
          <w:szCs w:val="20"/>
        </w:rPr>
        <w:t>Ngāi</w:t>
      </w:r>
      <w:proofErr w:type="spellEnd"/>
      <w:r w:rsidRPr="00DF212D">
        <w:rPr>
          <w:rFonts w:ascii="Century Gothic" w:hAnsi="Century Gothic"/>
          <w:b/>
          <w:bCs/>
          <w:color w:val="44546A"/>
          <w:sz w:val="20"/>
          <w:szCs w:val="20"/>
        </w:rPr>
        <w:t xml:space="preserve"> </w:t>
      </w:r>
      <w:proofErr w:type="spellStart"/>
      <w:r w:rsidRPr="00DF212D">
        <w:rPr>
          <w:rFonts w:ascii="Century Gothic" w:hAnsi="Century Gothic"/>
          <w:b/>
          <w:bCs/>
          <w:color w:val="44546A"/>
          <w:sz w:val="20"/>
          <w:szCs w:val="20"/>
        </w:rPr>
        <w:t>Tāmanuhiri</w:t>
      </w:r>
      <w:proofErr w:type="spellEnd"/>
      <w:r>
        <w:rPr>
          <w:rFonts w:ascii="Century Gothic" w:hAnsi="Century Gothic"/>
          <w:b/>
          <w:bCs/>
          <w:color w:val="44546A"/>
          <w:sz w:val="20"/>
          <w:szCs w:val="20"/>
        </w:rPr>
        <w:t xml:space="preserve"> iwi and the Māori descent population; adults aged 15+ years; Census 2013</w:t>
      </w:r>
      <w:bookmarkEnd w:id="53"/>
    </w:p>
    <w:p w14:paraId="6F7CB15D" w14:textId="70802680" w:rsidR="00F62FC8" w:rsidRDefault="00954E28" w:rsidP="00F62FC8">
      <w:pPr>
        <w:spacing w:after="0" w:line="276" w:lineRule="auto"/>
      </w:pPr>
      <w:r w:rsidRPr="00954E28">
        <w:rPr>
          <w:noProof/>
        </w:rPr>
        <w:drawing>
          <wp:anchor distT="0" distB="0" distL="114300" distR="114300" simplePos="0" relativeHeight="252376064" behindDoc="1" locked="0" layoutInCell="1" allowOverlap="1" wp14:anchorId="67C10B98" wp14:editId="5DD9F586">
            <wp:simplePos x="0" y="0"/>
            <wp:positionH relativeFrom="column">
              <wp:posOffset>3175</wp:posOffset>
            </wp:positionH>
            <wp:positionV relativeFrom="paragraph">
              <wp:posOffset>51186</wp:posOffset>
            </wp:positionV>
            <wp:extent cx="5359400" cy="2313940"/>
            <wp:effectExtent l="0" t="0" r="0" b="0"/>
            <wp:wrapTight wrapText="bothSides">
              <wp:wrapPolygon edited="0">
                <wp:start x="0" y="533"/>
                <wp:lineTo x="0" y="1067"/>
                <wp:lineTo x="6142" y="3734"/>
                <wp:lineTo x="0" y="5690"/>
                <wp:lineTo x="0" y="6046"/>
                <wp:lineTo x="77" y="8180"/>
                <wp:lineTo x="9597" y="9425"/>
                <wp:lineTo x="307" y="9425"/>
                <wp:lineTo x="0" y="9603"/>
                <wp:lineTo x="0" y="21339"/>
                <wp:lineTo x="21498" y="21339"/>
                <wp:lineTo x="21421" y="19383"/>
                <wp:lineTo x="4683" y="17960"/>
                <wp:lineTo x="21498" y="17783"/>
                <wp:lineTo x="21498" y="533"/>
                <wp:lineTo x="0" y="533"/>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359400" cy="231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19670" w14:textId="396EF37F" w:rsidR="00744830" w:rsidRDefault="00744830" w:rsidP="009B4456"/>
    <w:p w14:paraId="380A963B" w14:textId="77777777" w:rsidR="00F62FC8" w:rsidRDefault="00F62FC8" w:rsidP="009B4456"/>
    <w:p w14:paraId="2D1F3728" w14:textId="3A24C2EA" w:rsidR="00F62FC8" w:rsidRDefault="00F62FC8" w:rsidP="009B4456"/>
    <w:p w14:paraId="2F566380" w14:textId="792CCDD9" w:rsidR="00954E28" w:rsidRDefault="00954E28" w:rsidP="009B4456"/>
    <w:p w14:paraId="46E20826" w14:textId="639EF97E" w:rsidR="00954E28" w:rsidRDefault="00954E28" w:rsidP="009B4456"/>
    <w:p w14:paraId="64D64BF6" w14:textId="5813E1D8" w:rsidR="00954E28" w:rsidRDefault="00954E28" w:rsidP="009B4456"/>
    <w:p w14:paraId="0DCC01F9" w14:textId="33A41269" w:rsidR="00954E28" w:rsidRDefault="00954E28" w:rsidP="009B4456"/>
    <w:p w14:paraId="38632109" w14:textId="3882A471" w:rsidR="00954E28" w:rsidRDefault="00954E28" w:rsidP="009B4456"/>
    <w:p w14:paraId="06EB472A" w14:textId="28D690DB" w:rsidR="00954E28" w:rsidRDefault="00954E28" w:rsidP="009B4456"/>
    <w:p w14:paraId="4A7FFC5F" w14:textId="7A84DFFD" w:rsidR="00954E28" w:rsidRDefault="00954E28" w:rsidP="009B4456"/>
    <w:p w14:paraId="5BAD1045" w14:textId="62D59B08" w:rsidR="00F53411" w:rsidRPr="00871BA9" w:rsidRDefault="00F53411" w:rsidP="0065189F">
      <w:pPr>
        <w:pStyle w:val="Heading1"/>
        <w:numPr>
          <w:ilvl w:val="0"/>
          <w:numId w:val="2"/>
        </w:numPr>
        <w:shd w:val="clear" w:color="auto" w:fill="3DA5BD"/>
        <w:spacing w:after="120"/>
        <w:ind w:left="360"/>
        <w:rPr>
          <w:rFonts w:ascii="Century Gothic" w:hAnsi="Century Gothic"/>
          <w:b/>
          <w:bCs/>
          <w:color w:val="FFFFFF" w:themeColor="background1"/>
        </w:rPr>
      </w:pPr>
      <w:bookmarkStart w:id="54" w:name="_Toc491783052"/>
      <w:r>
        <w:rPr>
          <w:rFonts w:ascii="Century Gothic" w:hAnsi="Century Gothic"/>
          <w:b/>
          <w:bCs/>
          <w:color w:val="FFFFFF" w:themeColor="background1"/>
        </w:rPr>
        <w:t>Households</w:t>
      </w:r>
      <w:bookmarkEnd w:id="54"/>
    </w:p>
    <w:p w14:paraId="48CB1855" w14:textId="77777777" w:rsidR="00942710" w:rsidRDefault="00942710" w:rsidP="0065189F">
      <w:pPr>
        <w:pStyle w:val="NoSpacing"/>
        <w:rPr>
          <w:shd w:val="clear" w:color="auto" w:fill="FFFFFF"/>
        </w:rPr>
      </w:pPr>
    </w:p>
    <w:p w14:paraId="720BA295" w14:textId="00CBDD5D" w:rsidR="00F53411" w:rsidRDefault="00CB4209" w:rsidP="00C95F80">
      <w:pPr>
        <w:spacing w:line="360" w:lineRule="auto"/>
        <w:rPr>
          <w:rFonts w:ascii="Century Gothic" w:hAnsi="Century Gothic"/>
          <w:sz w:val="21"/>
          <w:szCs w:val="21"/>
        </w:rPr>
      </w:pPr>
      <w:r w:rsidRPr="000B60A9">
        <w:rPr>
          <w:rFonts w:ascii="Century Gothic" w:hAnsi="Century Gothic" w:cs="Arial"/>
          <w:color w:val="000000"/>
          <w:sz w:val="21"/>
          <w:szCs w:val="21"/>
          <w:shd w:val="clear" w:color="auto" w:fill="FFFFFF"/>
        </w:rPr>
        <w:t xml:space="preserve">The home is where people spend most of their time in the company of their </w:t>
      </w:r>
      <w:proofErr w:type="spellStart"/>
      <w:r w:rsidR="00C95F80">
        <w:rPr>
          <w:rFonts w:ascii="Century Gothic" w:hAnsi="Century Gothic" w:cs="Arial"/>
          <w:color w:val="000000"/>
          <w:sz w:val="21"/>
          <w:szCs w:val="21"/>
          <w:shd w:val="clear" w:color="auto" w:fill="FFFFFF"/>
        </w:rPr>
        <w:t>whānau</w:t>
      </w:r>
      <w:proofErr w:type="spellEnd"/>
      <w:r w:rsidR="00C95F80">
        <w:rPr>
          <w:rFonts w:ascii="Century Gothic" w:hAnsi="Century Gothic" w:cs="Arial"/>
          <w:color w:val="000000"/>
          <w:sz w:val="21"/>
          <w:szCs w:val="21"/>
          <w:shd w:val="clear" w:color="auto" w:fill="FFFFFF"/>
        </w:rPr>
        <w:t xml:space="preserve"> </w:t>
      </w:r>
      <w:r w:rsidR="000B60A9" w:rsidRPr="000B60A9">
        <w:rPr>
          <w:rFonts w:ascii="Century Gothic" w:hAnsi="Century Gothic" w:cs="Arial"/>
          <w:color w:val="000000"/>
          <w:sz w:val="21"/>
          <w:szCs w:val="21"/>
          <w:shd w:val="clear" w:color="auto" w:fill="FFFFFF"/>
        </w:rPr>
        <w:t xml:space="preserve">and has long been a focus of policies and strategies to revitalize and strengthen </w:t>
      </w:r>
      <w:proofErr w:type="spellStart"/>
      <w:proofErr w:type="gramStart"/>
      <w:r w:rsidR="000C5D5A">
        <w:rPr>
          <w:rFonts w:ascii="Century Gothic" w:hAnsi="Century Gothic" w:cs="Arial"/>
          <w:color w:val="000000"/>
          <w:sz w:val="21"/>
          <w:szCs w:val="21"/>
          <w:shd w:val="clear" w:color="auto" w:fill="FFFFFF"/>
        </w:rPr>
        <w:t>t</w:t>
      </w:r>
      <w:r w:rsidR="000B60A9">
        <w:rPr>
          <w:rFonts w:ascii="Century Gothic" w:hAnsi="Century Gothic" w:cs="Arial"/>
          <w:color w:val="000000"/>
          <w:sz w:val="21"/>
          <w:szCs w:val="21"/>
          <w:shd w:val="clear" w:color="auto" w:fill="FFFFFF"/>
        </w:rPr>
        <w:t>e</w:t>
      </w:r>
      <w:proofErr w:type="spellEnd"/>
      <w:proofErr w:type="gramEnd"/>
      <w:r w:rsidR="000B60A9">
        <w:rPr>
          <w:rFonts w:ascii="Century Gothic" w:hAnsi="Century Gothic" w:cs="Arial"/>
          <w:color w:val="000000"/>
          <w:sz w:val="21"/>
          <w:szCs w:val="21"/>
          <w:shd w:val="clear" w:color="auto" w:fill="FFFFFF"/>
        </w:rPr>
        <w:t xml:space="preserve"> reo Māori</w:t>
      </w:r>
      <w:r w:rsidR="000B60A9" w:rsidRPr="000B60A9">
        <w:rPr>
          <w:rFonts w:ascii="Century Gothic" w:hAnsi="Century Gothic" w:cs="Arial"/>
          <w:color w:val="000000"/>
          <w:sz w:val="21"/>
          <w:szCs w:val="21"/>
          <w:shd w:val="clear" w:color="auto" w:fill="FFFFFF"/>
        </w:rPr>
        <w:t>.</w:t>
      </w:r>
      <w:r w:rsidR="000B60A9">
        <w:rPr>
          <w:rFonts w:ascii="Century Gothic" w:hAnsi="Century Gothic" w:cs="Arial"/>
          <w:color w:val="000000"/>
          <w:sz w:val="21"/>
          <w:szCs w:val="21"/>
          <w:shd w:val="clear" w:color="auto" w:fill="FFFFFF"/>
        </w:rPr>
        <w:t xml:space="preserve"> </w:t>
      </w:r>
      <w:r w:rsidR="000C5D5A">
        <w:rPr>
          <w:rFonts w:ascii="Century Gothic" w:hAnsi="Century Gothic" w:cs="Arial"/>
          <w:color w:val="000000"/>
          <w:sz w:val="21"/>
          <w:szCs w:val="21"/>
          <w:shd w:val="clear" w:color="auto" w:fill="FFFFFF"/>
        </w:rPr>
        <w:t>One of the key enabling factors for t</w:t>
      </w:r>
      <w:r w:rsidR="000B60A9">
        <w:rPr>
          <w:rFonts w:ascii="Century Gothic" w:hAnsi="Century Gothic" w:cs="Arial"/>
          <w:color w:val="000000"/>
          <w:sz w:val="21"/>
          <w:szCs w:val="21"/>
          <w:shd w:val="clear" w:color="auto" w:fill="FFFFFF"/>
        </w:rPr>
        <w:t xml:space="preserve">he </w:t>
      </w:r>
      <w:r w:rsidR="000B60A9" w:rsidRPr="000B60A9">
        <w:rPr>
          <w:rFonts w:ascii="Century Gothic" w:hAnsi="Century Gothic"/>
          <w:sz w:val="21"/>
          <w:szCs w:val="21"/>
        </w:rPr>
        <w:t>intergenerational transmission and revita</w:t>
      </w:r>
      <w:r w:rsidR="000B60A9">
        <w:rPr>
          <w:rFonts w:ascii="Century Gothic" w:hAnsi="Century Gothic"/>
          <w:sz w:val="21"/>
          <w:szCs w:val="21"/>
        </w:rPr>
        <w:t xml:space="preserve">lisation of </w:t>
      </w:r>
      <w:proofErr w:type="spellStart"/>
      <w:proofErr w:type="gramStart"/>
      <w:r w:rsidR="000B60A9">
        <w:rPr>
          <w:rFonts w:ascii="Century Gothic" w:hAnsi="Century Gothic"/>
          <w:sz w:val="21"/>
          <w:szCs w:val="21"/>
        </w:rPr>
        <w:t>te</w:t>
      </w:r>
      <w:proofErr w:type="spellEnd"/>
      <w:proofErr w:type="gramEnd"/>
      <w:r w:rsidR="000B60A9">
        <w:rPr>
          <w:rFonts w:ascii="Century Gothic" w:hAnsi="Century Gothic"/>
          <w:sz w:val="21"/>
          <w:szCs w:val="21"/>
        </w:rPr>
        <w:t xml:space="preserve"> reo within </w:t>
      </w:r>
      <w:r w:rsidR="000B60A9" w:rsidRPr="000B60A9">
        <w:rPr>
          <w:rFonts w:ascii="Century Gothic" w:hAnsi="Century Gothic"/>
          <w:sz w:val="21"/>
          <w:szCs w:val="21"/>
        </w:rPr>
        <w:t>homes and communities</w:t>
      </w:r>
      <w:r w:rsidR="000B60A9">
        <w:rPr>
          <w:rFonts w:ascii="Century Gothic" w:hAnsi="Century Gothic"/>
          <w:sz w:val="21"/>
          <w:szCs w:val="21"/>
        </w:rPr>
        <w:t xml:space="preserve"> is</w:t>
      </w:r>
      <w:r w:rsidR="000C5D5A">
        <w:rPr>
          <w:rFonts w:ascii="Century Gothic" w:hAnsi="Century Gothic"/>
          <w:sz w:val="21"/>
          <w:szCs w:val="21"/>
        </w:rPr>
        <w:t xml:space="preserve"> having access to a </w:t>
      </w:r>
      <w:proofErr w:type="spellStart"/>
      <w:r w:rsidR="000C5D5A">
        <w:rPr>
          <w:rFonts w:ascii="Century Gothic" w:hAnsi="Century Gothic"/>
          <w:sz w:val="21"/>
          <w:szCs w:val="21"/>
        </w:rPr>
        <w:t>te</w:t>
      </w:r>
      <w:proofErr w:type="spellEnd"/>
      <w:r w:rsidR="000C5D5A">
        <w:rPr>
          <w:rFonts w:ascii="Century Gothic" w:hAnsi="Century Gothic"/>
          <w:sz w:val="21"/>
          <w:szCs w:val="21"/>
        </w:rPr>
        <w:t xml:space="preserve"> reo Māori speaker. </w:t>
      </w:r>
      <w:r w:rsidR="000B60A9">
        <w:rPr>
          <w:rFonts w:ascii="Century Gothic" w:hAnsi="Century Gothic"/>
          <w:sz w:val="21"/>
          <w:szCs w:val="21"/>
        </w:rPr>
        <w:t xml:space="preserve"> </w:t>
      </w:r>
      <w:r w:rsidR="000C5D5A">
        <w:rPr>
          <w:rFonts w:ascii="Century Gothic" w:hAnsi="Century Gothic"/>
          <w:sz w:val="21"/>
          <w:szCs w:val="21"/>
        </w:rPr>
        <w:t xml:space="preserve">Using the census household data it is possible to identify the number of </w:t>
      </w:r>
      <w:proofErr w:type="spellStart"/>
      <w:r w:rsidR="000C5D5A">
        <w:rPr>
          <w:rFonts w:ascii="Century Gothic" w:hAnsi="Century Gothic"/>
          <w:sz w:val="21"/>
          <w:szCs w:val="21"/>
        </w:rPr>
        <w:t>Ngāi</w:t>
      </w:r>
      <w:proofErr w:type="spellEnd"/>
      <w:r w:rsidR="000C5D5A">
        <w:rPr>
          <w:rFonts w:ascii="Century Gothic" w:hAnsi="Century Gothic"/>
          <w:sz w:val="21"/>
          <w:szCs w:val="21"/>
        </w:rPr>
        <w:t xml:space="preserve"> </w:t>
      </w:r>
      <w:proofErr w:type="spellStart"/>
      <w:r w:rsidR="000C5D5A">
        <w:rPr>
          <w:rFonts w:ascii="Century Gothic" w:hAnsi="Century Gothic"/>
          <w:sz w:val="21"/>
          <w:szCs w:val="21"/>
        </w:rPr>
        <w:t>Tāmanuhiri</w:t>
      </w:r>
      <w:proofErr w:type="spellEnd"/>
      <w:r w:rsidR="000C5D5A">
        <w:rPr>
          <w:rFonts w:ascii="Century Gothic" w:hAnsi="Century Gothic"/>
          <w:sz w:val="21"/>
          <w:szCs w:val="21"/>
        </w:rPr>
        <w:t xml:space="preserve"> households that have at least one </w:t>
      </w:r>
      <w:proofErr w:type="spellStart"/>
      <w:proofErr w:type="gramStart"/>
      <w:r w:rsidR="00942710">
        <w:rPr>
          <w:rFonts w:ascii="Century Gothic" w:hAnsi="Century Gothic"/>
          <w:sz w:val="21"/>
          <w:szCs w:val="21"/>
        </w:rPr>
        <w:t>te</w:t>
      </w:r>
      <w:proofErr w:type="spellEnd"/>
      <w:proofErr w:type="gramEnd"/>
      <w:r w:rsidR="00942710">
        <w:rPr>
          <w:rFonts w:ascii="Century Gothic" w:hAnsi="Century Gothic"/>
          <w:sz w:val="21"/>
          <w:szCs w:val="21"/>
        </w:rPr>
        <w:t xml:space="preserve"> reo </w:t>
      </w:r>
      <w:r w:rsidR="000C5D5A">
        <w:rPr>
          <w:rFonts w:ascii="Century Gothic" w:hAnsi="Century Gothic"/>
          <w:sz w:val="21"/>
          <w:szCs w:val="21"/>
        </w:rPr>
        <w:t>Māori speaker.</w:t>
      </w:r>
    </w:p>
    <w:p w14:paraId="58BC9434" w14:textId="1EDC92C0" w:rsidR="00942710" w:rsidRDefault="00942710" w:rsidP="00942710">
      <w:pPr>
        <w:spacing w:line="360" w:lineRule="auto"/>
        <w:rPr>
          <w:rFonts w:ascii="Century Gothic" w:hAnsi="Century Gothic"/>
          <w:sz w:val="21"/>
          <w:szCs w:val="21"/>
        </w:rPr>
      </w:pPr>
      <w:r w:rsidRPr="00942710">
        <w:rPr>
          <w:rFonts w:ascii="Century Gothic" w:hAnsi="Century Gothic"/>
          <w:sz w:val="21"/>
          <w:szCs w:val="21"/>
        </w:rPr>
        <w:t>The census definition of a household is either one person who usually lives alone, or two or more people who usually live together and share facilities (such as for eating or cooking) in a private dwelling. A household may contain one or more families, other people in addition to a family, or no families at all, such as unrelated people living together</w:t>
      </w:r>
      <w:r>
        <w:rPr>
          <w:rFonts w:ascii="Century Gothic" w:hAnsi="Century Gothic"/>
          <w:sz w:val="21"/>
          <w:szCs w:val="21"/>
        </w:rPr>
        <w:t xml:space="preserve"> (Statistics NZ, 2014).</w:t>
      </w:r>
    </w:p>
    <w:p w14:paraId="22D2D135" w14:textId="704C492C" w:rsidR="00BF51CA" w:rsidRDefault="00BF51CA" w:rsidP="00C95F80">
      <w:pPr>
        <w:spacing w:line="360" w:lineRule="auto"/>
        <w:rPr>
          <w:rFonts w:ascii="Century Gothic" w:hAnsi="Century Gothic"/>
          <w:sz w:val="21"/>
          <w:szCs w:val="21"/>
        </w:rPr>
      </w:pPr>
      <w:r w:rsidRPr="00942710">
        <w:rPr>
          <w:rFonts w:ascii="Century Gothic" w:hAnsi="Century Gothic"/>
          <w:sz w:val="21"/>
          <w:szCs w:val="21"/>
        </w:rPr>
        <w:t xml:space="preserve">Figure 6.1 shows that in 2013 there were </w:t>
      </w:r>
      <w:r w:rsidR="00C95F80">
        <w:rPr>
          <w:rFonts w:ascii="Century Gothic" w:hAnsi="Century Gothic"/>
          <w:sz w:val="21"/>
          <w:szCs w:val="21"/>
        </w:rPr>
        <w:t>951</w:t>
      </w:r>
      <w:r w:rsidRPr="00942710">
        <w:rPr>
          <w:rFonts w:ascii="Century Gothic" w:hAnsi="Century Gothic"/>
          <w:sz w:val="21"/>
          <w:szCs w:val="21"/>
        </w:rPr>
        <w:t xml:space="preserve"> households with at least one resident (adult or child) identifying as </w:t>
      </w:r>
      <w:proofErr w:type="spellStart"/>
      <w:r w:rsidRPr="00942710">
        <w:rPr>
          <w:rFonts w:ascii="Century Gothic" w:hAnsi="Century Gothic"/>
          <w:sz w:val="21"/>
          <w:szCs w:val="21"/>
        </w:rPr>
        <w:t>Ngāi</w:t>
      </w:r>
      <w:proofErr w:type="spellEnd"/>
      <w:r w:rsidRPr="00942710">
        <w:rPr>
          <w:rFonts w:ascii="Century Gothic" w:hAnsi="Century Gothic"/>
          <w:sz w:val="21"/>
          <w:szCs w:val="21"/>
        </w:rPr>
        <w:t xml:space="preserve"> </w:t>
      </w:r>
      <w:proofErr w:type="spellStart"/>
      <w:r w:rsidRPr="00942710">
        <w:rPr>
          <w:rFonts w:ascii="Century Gothic" w:hAnsi="Century Gothic"/>
          <w:sz w:val="21"/>
          <w:szCs w:val="21"/>
        </w:rPr>
        <w:t>Tāmanuhiri</w:t>
      </w:r>
      <w:proofErr w:type="spellEnd"/>
      <w:r w:rsidRPr="00942710">
        <w:rPr>
          <w:rFonts w:ascii="Century Gothic" w:hAnsi="Century Gothic"/>
          <w:sz w:val="21"/>
          <w:szCs w:val="21"/>
        </w:rPr>
        <w:t>.</w:t>
      </w:r>
      <w:r w:rsidR="00C95F80">
        <w:rPr>
          <w:rFonts w:ascii="Century Gothic" w:hAnsi="Century Gothic"/>
          <w:sz w:val="21"/>
          <w:szCs w:val="21"/>
        </w:rPr>
        <w:t xml:space="preserve"> Of those households, just over 60 per cent had at least one </w:t>
      </w:r>
      <w:proofErr w:type="spellStart"/>
      <w:proofErr w:type="gramStart"/>
      <w:r w:rsidR="00C95F80">
        <w:rPr>
          <w:rFonts w:ascii="Century Gothic" w:hAnsi="Century Gothic"/>
          <w:sz w:val="21"/>
          <w:szCs w:val="21"/>
        </w:rPr>
        <w:t>te</w:t>
      </w:r>
      <w:proofErr w:type="spellEnd"/>
      <w:proofErr w:type="gramEnd"/>
      <w:r w:rsidR="00C95F80">
        <w:rPr>
          <w:rFonts w:ascii="Century Gothic" w:hAnsi="Century Gothic"/>
          <w:sz w:val="21"/>
          <w:szCs w:val="21"/>
        </w:rPr>
        <w:t xml:space="preserve"> reo Māori speaker. We cannot tell if that speaker affiliated as </w:t>
      </w:r>
      <w:proofErr w:type="spellStart"/>
      <w:r w:rsidR="00C95F80">
        <w:rPr>
          <w:rFonts w:ascii="Century Gothic" w:hAnsi="Century Gothic"/>
          <w:sz w:val="21"/>
          <w:szCs w:val="21"/>
        </w:rPr>
        <w:t>Ngāi</w:t>
      </w:r>
      <w:proofErr w:type="spellEnd"/>
      <w:r w:rsidR="00C95F80">
        <w:rPr>
          <w:rFonts w:ascii="Century Gothic" w:hAnsi="Century Gothic"/>
          <w:sz w:val="21"/>
          <w:szCs w:val="21"/>
        </w:rPr>
        <w:t xml:space="preserve"> </w:t>
      </w:r>
      <w:proofErr w:type="spellStart"/>
      <w:r w:rsidR="00C95F80">
        <w:rPr>
          <w:rFonts w:ascii="Century Gothic" w:hAnsi="Century Gothic"/>
          <w:sz w:val="21"/>
          <w:szCs w:val="21"/>
        </w:rPr>
        <w:t>Tāmanuhiri</w:t>
      </w:r>
      <w:proofErr w:type="spellEnd"/>
      <w:r w:rsidR="00C95F80">
        <w:rPr>
          <w:rFonts w:ascii="Century Gothic" w:hAnsi="Century Gothic"/>
          <w:sz w:val="21"/>
          <w:szCs w:val="21"/>
        </w:rPr>
        <w:t xml:space="preserve"> but in the majority of cases that is likely to be the case.</w:t>
      </w:r>
    </w:p>
    <w:p w14:paraId="0EBB67E2" w14:textId="4CCC5E71" w:rsidR="000B4080" w:rsidRDefault="000B4080" w:rsidP="0004195F">
      <w:pPr>
        <w:spacing w:line="360" w:lineRule="auto"/>
        <w:rPr>
          <w:rFonts w:ascii="Century Gothic" w:hAnsi="Century Gothic"/>
          <w:sz w:val="21"/>
          <w:szCs w:val="21"/>
        </w:rPr>
      </w:pPr>
      <w:r>
        <w:rPr>
          <w:rFonts w:ascii="Century Gothic" w:hAnsi="Century Gothic"/>
          <w:sz w:val="21"/>
          <w:szCs w:val="21"/>
        </w:rPr>
        <w:t xml:space="preserve">Focusing on </w:t>
      </w:r>
      <w:proofErr w:type="spellStart"/>
      <w:r>
        <w:rPr>
          <w:rFonts w:ascii="Century Gothic" w:hAnsi="Century Gothic"/>
          <w:sz w:val="21"/>
          <w:szCs w:val="21"/>
        </w:rPr>
        <w:t>Gisborne</w:t>
      </w:r>
      <w:proofErr w:type="spellEnd"/>
      <w:r>
        <w:rPr>
          <w:rFonts w:ascii="Century Gothic" w:hAnsi="Century Gothic"/>
          <w:sz w:val="21"/>
          <w:szCs w:val="21"/>
        </w:rPr>
        <w:t xml:space="preserve"> we can see that there were 345 households with at least one </w:t>
      </w:r>
      <w:proofErr w:type="spellStart"/>
      <w:r>
        <w:rPr>
          <w:rFonts w:ascii="Century Gothic" w:hAnsi="Century Gothic"/>
          <w:sz w:val="21"/>
          <w:szCs w:val="21"/>
        </w:rPr>
        <w:t>Ngāi</w:t>
      </w:r>
      <w:proofErr w:type="spellEnd"/>
      <w:r>
        <w:rPr>
          <w:rFonts w:ascii="Century Gothic" w:hAnsi="Century Gothic"/>
          <w:sz w:val="21"/>
          <w:szCs w:val="21"/>
        </w:rPr>
        <w:t xml:space="preserve"> </w:t>
      </w:r>
      <w:proofErr w:type="spellStart"/>
      <w:r>
        <w:rPr>
          <w:rFonts w:ascii="Century Gothic" w:hAnsi="Century Gothic"/>
          <w:sz w:val="21"/>
          <w:szCs w:val="21"/>
        </w:rPr>
        <w:t>Tāmanuhiri</w:t>
      </w:r>
      <w:proofErr w:type="spellEnd"/>
      <w:r>
        <w:rPr>
          <w:rFonts w:ascii="Century Gothic" w:hAnsi="Century Gothic"/>
          <w:sz w:val="21"/>
          <w:szCs w:val="21"/>
        </w:rPr>
        <w:t xml:space="preserve"> resident in 2013, of which nearly 69 per cent had at least one </w:t>
      </w:r>
      <w:proofErr w:type="spellStart"/>
      <w:proofErr w:type="gramStart"/>
      <w:r>
        <w:rPr>
          <w:rFonts w:ascii="Century Gothic" w:hAnsi="Century Gothic"/>
          <w:sz w:val="21"/>
          <w:szCs w:val="21"/>
        </w:rPr>
        <w:t>te</w:t>
      </w:r>
      <w:proofErr w:type="spellEnd"/>
      <w:proofErr w:type="gramEnd"/>
      <w:r>
        <w:rPr>
          <w:rFonts w:ascii="Century Gothic" w:hAnsi="Century Gothic"/>
          <w:sz w:val="21"/>
          <w:szCs w:val="21"/>
        </w:rPr>
        <w:t xml:space="preserve"> reo Māori speaker. Again this underscores the wealth of </w:t>
      </w:r>
      <w:proofErr w:type="spellStart"/>
      <w:r>
        <w:rPr>
          <w:rFonts w:ascii="Century Gothic" w:hAnsi="Century Gothic"/>
          <w:sz w:val="21"/>
          <w:szCs w:val="21"/>
        </w:rPr>
        <w:t>whānau</w:t>
      </w:r>
      <w:proofErr w:type="spellEnd"/>
      <w:r>
        <w:rPr>
          <w:rFonts w:ascii="Century Gothic" w:hAnsi="Century Gothic"/>
          <w:sz w:val="21"/>
          <w:szCs w:val="21"/>
        </w:rPr>
        <w:t xml:space="preserve">-based resources that </w:t>
      </w:r>
      <w:proofErr w:type="spellStart"/>
      <w:r>
        <w:rPr>
          <w:rFonts w:ascii="Century Gothic" w:hAnsi="Century Gothic"/>
          <w:sz w:val="21"/>
          <w:szCs w:val="21"/>
        </w:rPr>
        <w:t>Ngāi</w:t>
      </w:r>
      <w:proofErr w:type="spellEnd"/>
      <w:r>
        <w:rPr>
          <w:rFonts w:ascii="Century Gothic" w:hAnsi="Century Gothic"/>
          <w:sz w:val="21"/>
          <w:szCs w:val="21"/>
        </w:rPr>
        <w:t xml:space="preserve"> </w:t>
      </w:r>
      <w:proofErr w:type="spellStart"/>
      <w:r>
        <w:rPr>
          <w:rFonts w:ascii="Century Gothic" w:hAnsi="Century Gothic"/>
          <w:sz w:val="21"/>
          <w:szCs w:val="21"/>
        </w:rPr>
        <w:t>Tāmanuhiri</w:t>
      </w:r>
      <w:proofErr w:type="spellEnd"/>
      <w:r>
        <w:rPr>
          <w:rFonts w:ascii="Century Gothic" w:hAnsi="Century Gothic"/>
          <w:sz w:val="21"/>
          <w:szCs w:val="21"/>
        </w:rPr>
        <w:t xml:space="preserve"> has to draw on as part of its strategy to strengthen and protect </w:t>
      </w:r>
      <w:proofErr w:type="spellStart"/>
      <w:proofErr w:type="gramStart"/>
      <w:r>
        <w:rPr>
          <w:rFonts w:ascii="Century Gothic" w:hAnsi="Century Gothic"/>
          <w:sz w:val="21"/>
          <w:szCs w:val="21"/>
        </w:rPr>
        <w:t>te</w:t>
      </w:r>
      <w:proofErr w:type="spellEnd"/>
      <w:proofErr w:type="gramEnd"/>
      <w:r>
        <w:rPr>
          <w:rFonts w:ascii="Century Gothic" w:hAnsi="Century Gothic"/>
          <w:sz w:val="21"/>
          <w:szCs w:val="21"/>
        </w:rPr>
        <w:t xml:space="preserve"> reo.  </w:t>
      </w:r>
    </w:p>
    <w:p w14:paraId="30194D68" w14:textId="77777777" w:rsidR="00BF51CA" w:rsidRDefault="00BF51CA" w:rsidP="00942710">
      <w:pPr>
        <w:spacing w:line="360" w:lineRule="auto"/>
        <w:rPr>
          <w:rFonts w:ascii="Century Gothic" w:hAnsi="Century Gothic"/>
          <w:sz w:val="21"/>
          <w:szCs w:val="21"/>
        </w:rPr>
      </w:pPr>
    </w:p>
    <w:p w14:paraId="4A31A179" w14:textId="11EEC2FE" w:rsidR="000C5D5A" w:rsidRDefault="000C5D5A" w:rsidP="000C5D5A">
      <w:pPr>
        <w:rPr>
          <w:rFonts w:ascii="Century Gothic" w:hAnsi="Century Gothic"/>
          <w:b/>
          <w:bCs/>
          <w:color w:val="44546A"/>
          <w:sz w:val="20"/>
          <w:szCs w:val="20"/>
        </w:rPr>
      </w:pPr>
      <w:bookmarkStart w:id="55" w:name="_Toc491783089"/>
      <w:r w:rsidRPr="00DF212D">
        <w:rPr>
          <w:rFonts w:ascii="Century Gothic" w:hAnsi="Century Gothic"/>
          <w:b/>
          <w:bCs/>
          <w:color w:val="44546A"/>
          <w:sz w:val="20"/>
          <w:szCs w:val="20"/>
        </w:rPr>
        <w:lastRenderedPageBreak/>
        <w:t xml:space="preserve">Figure </w:t>
      </w:r>
      <w:r>
        <w:rPr>
          <w:rFonts w:ascii="Century Gothic" w:hAnsi="Century Gothic"/>
          <w:b/>
          <w:bCs/>
          <w:color w:val="44546A"/>
          <w:sz w:val="20"/>
          <w:szCs w:val="20"/>
        </w:rPr>
        <w:fldChar w:fldCharType="begin"/>
      </w:r>
      <w:r w:rsidRPr="00DF212D">
        <w:rPr>
          <w:rFonts w:ascii="Century Gothic" w:hAnsi="Century Gothic"/>
          <w:b/>
          <w:bCs/>
          <w:color w:val="44546A"/>
          <w:sz w:val="20"/>
          <w:szCs w:val="20"/>
        </w:rPr>
        <w:instrText xml:space="preserve"> STYLEREF 1 \s </w:instrText>
      </w:r>
      <w:r>
        <w:rPr>
          <w:rFonts w:ascii="Century Gothic" w:hAnsi="Century Gothic"/>
          <w:b/>
          <w:bCs/>
          <w:color w:val="44546A"/>
          <w:sz w:val="20"/>
          <w:szCs w:val="20"/>
        </w:rPr>
        <w:fldChar w:fldCharType="separate"/>
      </w:r>
      <w:r w:rsidR="001470A9">
        <w:rPr>
          <w:rFonts w:ascii="Century Gothic" w:hAnsi="Century Gothic" w:hint="cs"/>
          <w:b/>
          <w:bCs/>
          <w:noProof/>
          <w:color w:val="44546A"/>
          <w:sz w:val="20"/>
          <w:szCs w:val="20"/>
          <w:cs/>
        </w:rPr>
        <w:t>‎</w:t>
      </w:r>
      <w:r w:rsidR="001470A9">
        <w:rPr>
          <w:rFonts w:ascii="Century Gothic" w:hAnsi="Century Gothic"/>
          <w:b/>
          <w:bCs/>
          <w:noProof/>
          <w:color w:val="44546A"/>
          <w:sz w:val="20"/>
          <w:szCs w:val="20"/>
        </w:rPr>
        <w:t>6</w:t>
      </w:r>
      <w:r>
        <w:rPr>
          <w:rFonts w:ascii="Century Gothic" w:hAnsi="Century Gothic"/>
          <w:b/>
          <w:bCs/>
          <w:color w:val="44546A"/>
          <w:sz w:val="20"/>
          <w:szCs w:val="20"/>
        </w:rPr>
        <w:fldChar w:fldCharType="end"/>
      </w:r>
      <w:r w:rsidRPr="00DF212D">
        <w:rPr>
          <w:rFonts w:ascii="Century Gothic" w:hAnsi="Century Gothic"/>
          <w:b/>
          <w:bCs/>
          <w:color w:val="44546A"/>
          <w:sz w:val="20"/>
          <w:szCs w:val="20"/>
        </w:rPr>
        <w:t>.</w:t>
      </w:r>
      <w:r>
        <w:rPr>
          <w:rFonts w:ascii="Century Gothic" w:hAnsi="Century Gothic"/>
          <w:b/>
          <w:bCs/>
          <w:color w:val="44546A"/>
          <w:sz w:val="20"/>
          <w:szCs w:val="20"/>
        </w:rPr>
        <w:fldChar w:fldCharType="begin"/>
      </w:r>
      <w:r w:rsidRPr="00DF212D">
        <w:rPr>
          <w:rFonts w:ascii="Century Gothic" w:hAnsi="Century Gothic"/>
          <w:b/>
          <w:bCs/>
          <w:color w:val="44546A"/>
          <w:sz w:val="20"/>
          <w:szCs w:val="20"/>
        </w:rPr>
        <w:instrText xml:space="preserve"> SEQ Figure \* ARABIC \s 1 </w:instrText>
      </w:r>
      <w:r>
        <w:rPr>
          <w:rFonts w:ascii="Century Gothic" w:hAnsi="Century Gothic"/>
          <w:b/>
          <w:bCs/>
          <w:color w:val="44546A"/>
          <w:sz w:val="20"/>
          <w:szCs w:val="20"/>
        </w:rPr>
        <w:fldChar w:fldCharType="separate"/>
      </w:r>
      <w:r w:rsidR="001470A9">
        <w:rPr>
          <w:rFonts w:ascii="Century Gothic" w:hAnsi="Century Gothic"/>
          <w:b/>
          <w:bCs/>
          <w:noProof/>
          <w:color w:val="44546A"/>
          <w:sz w:val="20"/>
          <w:szCs w:val="20"/>
        </w:rPr>
        <w:t>1</w:t>
      </w:r>
      <w:r>
        <w:rPr>
          <w:rFonts w:ascii="Century Gothic" w:hAnsi="Century Gothic"/>
          <w:b/>
          <w:bCs/>
          <w:color w:val="44546A"/>
          <w:sz w:val="20"/>
          <w:szCs w:val="20"/>
        </w:rPr>
        <w:fldChar w:fldCharType="end"/>
      </w:r>
      <w:r w:rsidRPr="00DF212D">
        <w:rPr>
          <w:rFonts w:ascii="Century Gothic" w:hAnsi="Century Gothic"/>
          <w:b/>
          <w:bCs/>
          <w:color w:val="44546A"/>
          <w:sz w:val="20"/>
          <w:szCs w:val="20"/>
        </w:rPr>
        <w:t xml:space="preserve">  </w:t>
      </w:r>
      <w:r>
        <w:rPr>
          <w:rFonts w:ascii="Century Gothic" w:hAnsi="Century Gothic"/>
          <w:b/>
          <w:bCs/>
          <w:color w:val="44546A"/>
          <w:sz w:val="20"/>
          <w:szCs w:val="20"/>
        </w:rPr>
        <w:t xml:space="preserve"> Households with at least one </w:t>
      </w:r>
      <w:proofErr w:type="spellStart"/>
      <w:proofErr w:type="gramStart"/>
      <w:r>
        <w:rPr>
          <w:rFonts w:ascii="Century Gothic" w:hAnsi="Century Gothic"/>
          <w:b/>
          <w:bCs/>
          <w:color w:val="44546A"/>
          <w:sz w:val="20"/>
          <w:szCs w:val="20"/>
        </w:rPr>
        <w:t>te</w:t>
      </w:r>
      <w:proofErr w:type="spellEnd"/>
      <w:proofErr w:type="gramEnd"/>
      <w:r>
        <w:rPr>
          <w:rFonts w:ascii="Century Gothic" w:hAnsi="Century Gothic"/>
          <w:b/>
          <w:bCs/>
          <w:color w:val="44546A"/>
          <w:sz w:val="20"/>
          <w:szCs w:val="20"/>
        </w:rPr>
        <w:t xml:space="preserve"> reo Māori speaker; </w:t>
      </w:r>
      <w:proofErr w:type="spellStart"/>
      <w:r>
        <w:rPr>
          <w:rFonts w:ascii="Century Gothic" w:hAnsi="Century Gothic"/>
          <w:b/>
          <w:bCs/>
          <w:color w:val="44546A"/>
          <w:sz w:val="20"/>
          <w:szCs w:val="20"/>
        </w:rPr>
        <w:t>Ngāi</w:t>
      </w:r>
      <w:proofErr w:type="spellEnd"/>
      <w:r w:rsidRPr="00DF212D">
        <w:rPr>
          <w:rFonts w:ascii="Century Gothic" w:hAnsi="Century Gothic"/>
          <w:b/>
          <w:bCs/>
          <w:color w:val="44546A"/>
          <w:sz w:val="20"/>
          <w:szCs w:val="20"/>
        </w:rPr>
        <w:t xml:space="preserve"> </w:t>
      </w:r>
      <w:proofErr w:type="spellStart"/>
      <w:r w:rsidRPr="00DF212D">
        <w:rPr>
          <w:rFonts w:ascii="Century Gothic" w:hAnsi="Century Gothic"/>
          <w:b/>
          <w:bCs/>
          <w:color w:val="44546A"/>
          <w:sz w:val="20"/>
          <w:szCs w:val="20"/>
        </w:rPr>
        <w:t>Tāmanuhiri</w:t>
      </w:r>
      <w:proofErr w:type="spellEnd"/>
      <w:r>
        <w:rPr>
          <w:rFonts w:ascii="Century Gothic" w:hAnsi="Century Gothic"/>
          <w:b/>
          <w:bCs/>
          <w:color w:val="44546A"/>
          <w:sz w:val="20"/>
          <w:szCs w:val="20"/>
        </w:rPr>
        <w:t xml:space="preserve"> and the Māori descent population; 2013 Census</w:t>
      </w:r>
      <w:bookmarkEnd w:id="55"/>
    </w:p>
    <w:p w14:paraId="7D1A613D" w14:textId="6D0C8CE0" w:rsidR="00F53411" w:rsidRDefault="000C5D5A" w:rsidP="000C5D5A">
      <w:r>
        <w:rPr>
          <w:rFonts w:ascii="Century Gothic" w:hAnsi="Century Gothic"/>
          <w:b/>
          <w:bCs/>
          <w:color w:val="44546A"/>
          <w:sz w:val="20"/>
          <w:szCs w:val="20"/>
        </w:rPr>
        <w:t xml:space="preserve"> </w:t>
      </w:r>
      <w:r w:rsidR="00F53411" w:rsidRPr="00F53411">
        <w:rPr>
          <w:noProof/>
        </w:rPr>
        <w:drawing>
          <wp:anchor distT="0" distB="0" distL="114300" distR="114300" simplePos="0" relativeHeight="252363776" behindDoc="1" locked="0" layoutInCell="1" allowOverlap="1" wp14:anchorId="4092DADE" wp14:editId="6214A1D3">
            <wp:simplePos x="0" y="0"/>
            <wp:positionH relativeFrom="column">
              <wp:posOffset>3175</wp:posOffset>
            </wp:positionH>
            <wp:positionV relativeFrom="paragraph">
              <wp:posOffset>177055</wp:posOffset>
            </wp:positionV>
            <wp:extent cx="5683885" cy="2886710"/>
            <wp:effectExtent l="0" t="0" r="0" b="8890"/>
            <wp:wrapTight wrapText="bothSides">
              <wp:wrapPolygon edited="0">
                <wp:start x="5864" y="0"/>
                <wp:lineTo x="5864" y="11403"/>
                <wp:lineTo x="2244" y="13399"/>
                <wp:lineTo x="0" y="15252"/>
                <wp:lineTo x="0" y="21524"/>
                <wp:lineTo x="21501" y="21524"/>
                <wp:lineTo x="21501" y="15395"/>
                <wp:lineTo x="19619" y="13399"/>
                <wp:lineTo x="15565" y="11403"/>
                <wp:lineTo x="15565" y="0"/>
                <wp:lineTo x="5864"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83885" cy="2886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E52E8E" w14:textId="2AF5F2B1" w:rsidR="00F53411" w:rsidRDefault="00F53411" w:rsidP="009B4456"/>
    <w:p w14:paraId="386C3E4D" w14:textId="06BF0A73" w:rsidR="00F53411" w:rsidRDefault="00F53411" w:rsidP="009B4456"/>
    <w:p w14:paraId="6A00A329" w14:textId="33B6828E" w:rsidR="00F53411" w:rsidRDefault="00F53411" w:rsidP="009B4456"/>
    <w:p w14:paraId="7BBB51E8" w14:textId="3690204A" w:rsidR="00F53411" w:rsidRDefault="00F53411" w:rsidP="009B4456"/>
    <w:p w14:paraId="5233821C" w14:textId="18C9886D" w:rsidR="00F53411" w:rsidRDefault="00F53411" w:rsidP="009B4456"/>
    <w:p w14:paraId="068389CE" w14:textId="1953074C" w:rsidR="00F53411" w:rsidRDefault="00F53411" w:rsidP="009B4456"/>
    <w:p w14:paraId="214B9C2B" w14:textId="3514583E" w:rsidR="00F53411" w:rsidRDefault="00F53411" w:rsidP="009B4456"/>
    <w:p w14:paraId="688A1205" w14:textId="77A08560" w:rsidR="00F53411" w:rsidRDefault="00F53411" w:rsidP="009B4456"/>
    <w:p w14:paraId="6429AB9C" w14:textId="78921BC5" w:rsidR="00F53411" w:rsidRDefault="00F53411" w:rsidP="009B4456"/>
    <w:p w14:paraId="18405BBD" w14:textId="7A83CCB4" w:rsidR="00F53411" w:rsidRDefault="00F53411" w:rsidP="009B4456"/>
    <w:p w14:paraId="2D510E2D" w14:textId="4F7E5617" w:rsidR="00F53411" w:rsidRDefault="00F53411" w:rsidP="009B4456"/>
    <w:p w14:paraId="3CB9882C" w14:textId="6BD0D127" w:rsidR="004C270E" w:rsidRDefault="004C270E" w:rsidP="009B4456">
      <w:r w:rsidRPr="004C270E">
        <w:rPr>
          <w:noProof/>
        </w:rPr>
        <w:drawing>
          <wp:anchor distT="0" distB="0" distL="114300" distR="114300" simplePos="0" relativeHeight="252364800" behindDoc="1" locked="0" layoutInCell="1" allowOverlap="1" wp14:anchorId="1146BE28" wp14:editId="3DB7EA16">
            <wp:simplePos x="0" y="0"/>
            <wp:positionH relativeFrom="column">
              <wp:posOffset>74295</wp:posOffset>
            </wp:positionH>
            <wp:positionV relativeFrom="paragraph">
              <wp:posOffset>287020</wp:posOffset>
            </wp:positionV>
            <wp:extent cx="5683885" cy="2886710"/>
            <wp:effectExtent l="0" t="0" r="0" b="8890"/>
            <wp:wrapTight wrapText="bothSides">
              <wp:wrapPolygon edited="0">
                <wp:start x="5864" y="0"/>
                <wp:lineTo x="5864" y="11403"/>
                <wp:lineTo x="2244" y="13399"/>
                <wp:lineTo x="0" y="15252"/>
                <wp:lineTo x="0" y="21524"/>
                <wp:lineTo x="21501" y="21524"/>
                <wp:lineTo x="21501" y="15395"/>
                <wp:lineTo x="19619" y="13399"/>
                <wp:lineTo x="15565" y="11403"/>
                <wp:lineTo x="15565" y="0"/>
                <wp:lineTo x="5864"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83885" cy="2886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635297" w14:textId="7E2FC03A" w:rsidR="004C270E" w:rsidRDefault="004C270E" w:rsidP="009B4456"/>
    <w:p w14:paraId="0DF41113" w14:textId="33E43EF3" w:rsidR="004C270E" w:rsidRDefault="004C270E" w:rsidP="009B4456"/>
    <w:p w14:paraId="619BD2A7" w14:textId="29C7B513" w:rsidR="004C270E" w:rsidRDefault="004C270E" w:rsidP="009B4456"/>
    <w:p w14:paraId="6AC3A372" w14:textId="1DFA210E" w:rsidR="004C270E" w:rsidRDefault="004C270E" w:rsidP="009B4456"/>
    <w:p w14:paraId="00937892" w14:textId="44CFF8D7" w:rsidR="004C270E" w:rsidRDefault="004C270E" w:rsidP="009B4456"/>
    <w:p w14:paraId="130CFD90" w14:textId="507577C5" w:rsidR="004C270E" w:rsidRDefault="004C270E" w:rsidP="009B4456"/>
    <w:p w14:paraId="5EFA287C" w14:textId="1D09706A" w:rsidR="004C270E" w:rsidRDefault="004C270E" w:rsidP="009B4456"/>
    <w:p w14:paraId="71A38CB7" w14:textId="1ED8520F" w:rsidR="00F53411" w:rsidRDefault="00F53411" w:rsidP="009B4456"/>
    <w:p w14:paraId="122D9E30" w14:textId="00E2716F" w:rsidR="00F53411" w:rsidRDefault="00F53411" w:rsidP="009B4456"/>
    <w:p w14:paraId="0A26716A" w14:textId="0EDBABEB" w:rsidR="004C270E" w:rsidRDefault="004C270E" w:rsidP="009B4456"/>
    <w:p w14:paraId="1C5F03A1" w14:textId="6960AD87" w:rsidR="004C270E" w:rsidRDefault="004C270E" w:rsidP="009B4456"/>
    <w:p w14:paraId="3CEE0D5A" w14:textId="7CDB8C89" w:rsidR="004C270E" w:rsidRDefault="004C270E" w:rsidP="009B4456"/>
    <w:p w14:paraId="0DAB62DA" w14:textId="5528C7BE" w:rsidR="004C270E" w:rsidRDefault="004C270E" w:rsidP="009B4456"/>
    <w:p w14:paraId="4F794DA4" w14:textId="77777777" w:rsidR="0065189F" w:rsidRDefault="0065189F" w:rsidP="009B4456"/>
    <w:p w14:paraId="7BA46F2E" w14:textId="77777777" w:rsidR="0065189F" w:rsidRDefault="0065189F" w:rsidP="009B4456"/>
    <w:p w14:paraId="6E4A3969" w14:textId="77777777" w:rsidR="0065189F" w:rsidRDefault="0065189F" w:rsidP="009B4456"/>
    <w:p w14:paraId="18839F24" w14:textId="77777777" w:rsidR="004C270E" w:rsidRPr="00B02EA5" w:rsidRDefault="004C270E" w:rsidP="009B4456"/>
    <w:p w14:paraId="728F6135" w14:textId="0BC6A550" w:rsidR="0058608C" w:rsidRPr="00871BA9" w:rsidRDefault="00CC567B" w:rsidP="00CC567B">
      <w:pPr>
        <w:pStyle w:val="Heading1"/>
        <w:numPr>
          <w:ilvl w:val="0"/>
          <w:numId w:val="2"/>
        </w:numPr>
        <w:shd w:val="clear" w:color="auto" w:fill="3DA5BD"/>
        <w:spacing w:after="120"/>
        <w:ind w:left="360"/>
        <w:rPr>
          <w:rFonts w:ascii="Century Gothic" w:hAnsi="Century Gothic"/>
          <w:b/>
          <w:bCs/>
          <w:color w:val="FFFFFF" w:themeColor="background1"/>
        </w:rPr>
      </w:pPr>
      <w:bookmarkStart w:id="56" w:name="_Toc491783053"/>
      <w:r>
        <w:rPr>
          <w:rFonts w:ascii="Century Gothic" w:hAnsi="Century Gothic"/>
          <w:b/>
          <w:bCs/>
          <w:color w:val="FFFFFF" w:themeColor="background1"/>
        </w:rPr>
        <w:lastRenderedPageBreak/>
        <w:t>Concluding comments</w:t>
      </w:r>
      <w:bookmarkEnd w:id="56"/>
    </w:p>
    <w:p w14:paraId="2B7937B3" w14:textId="77777777" w:rsidR="009B4456" w:rsidRPr="00B02EA5" w:rsidRDefault="009B4456" w:rsidP="009B4456"/>
    <w:p w14:paraId="69EF3B96" w14:textId="44CA1E0C" w:rsidR="00CA165C" w:rsidRDefault="00CA165C" w:rsidP="00CA165C">
      <w:pPr>
        <w:spacing w:line="360" w:lineRule="auto"/>
        <w:rPr>
          <w:rFonts w:ascii="Century Gothic" w:hAnsi="Century Gothic"/>
          <w:sz w:val="21"/>
          <w:szCs w:val="21"/>
        </w:rPr>
      </w:pPr>
      <w:r>
        <w:rPr>
          <w:rFonts w:ascii="Century Gothic" w:hAnsi="Century Gothic"/>
          <w:sz w:val="21"/>
          <w:szCs w:val="21"/>
        </w:rPr>
        <w:t xml:space="preserve">This report has provided a comprehensive socio-demographic profile of </w:t>
      </w:r>
      <w:proofErr w:type="spellStart"/>
      <w:r>
        <w:rPr>
          <w:rFonts w:ascii="Century Gothic" w:hAnsi="Century Gothic"/>
          <w:sz w:val="21"/>
          <w:szCs w:val="21"/>
        </w:rPr>
        <w:t>Ngāi</w:t>
      </w:r>
      <w:proofErr w:type="spellEnd"/>
      <w:r>
        <w:rPr>
          <w:rFonts w:ascii="Century Gothic" w:hAnsi="Century Gothic"/>
          <w:sz w:val="21"/>
          <w:szCs w:val="21"/>
        </w:rPr>
        <w:t xml:space="preserve"> </w:t>
      </w:r>
      <w:proofErr w:type="spellStart"/>
      <w:r>
        <w:rPr>
          <w:rFonts w:ascii="Century Gothic" w:hAnsi="Century Gothic"/>
          <w:sz w:val="21"/>
          <w:szCs w:val="21"/>
        </w:rPr>
        <w:t>Tāmanuhiri</w:t>
      </w:r>
      <w:proofErr w:type="spellEnd"/>
      <w:r>
        <w:rPr>
          <w:rFonts w:ascii="Century Gothic" w:hAnsi="Century Gothic"/>
          <w:sz w:val="21"/>
          <w:szCs w:val="21"/>
        </w:rPr>
        <w:t xml:space="preserve"> </w:t>
      </w:r>
      <w:proofErr w:type="spellStart"/>
      <w:proofErr w:type="gramStart"/>
      <w:r>
        <w:rPr>
          <w:rFonts w:ascii="Century Gothic" w:hAnsi="Century Gothic"/>
          <w:sz w:val="21"/>
          <w:szCs w:val="21"/>
        </w:rPr>
        <w:t>te</w:t>
      </w:r>
      <w:proofErr w:type="spellEnd"/>
      <w:proofErr w:type="gramEnd"/>
      <w:r>
        <w:rPr>
          <w:rFonts w:ascii="Century Gothic" w:hAnsi="Century Gothic"/>
          <w:sz w:val="21"/>
          <w:szCs w:val="21"/>
        </w:rPr>
        <w:t xml:space="preserve"> reo Māori speakers using recent census data. One constraint of relying solely on census data is that we do not know to what extent the </w:t>
      </w:r>
      <w:proofErr w:type="spellStart"/>
      <w:r>
        <w:rPr>
          <w:rFonts w:ascii="Century Gothic" w:hAnsi="Century Gothic"/>
          <w:sz w:val="21"/>
          <w:szCs w:val="21"/>
        </w:rPr>
        <w:t>Ngāi</w:t>
      </w:r>
      <w:proofErr w:type="spellEnd"/>
      <w:r>
        <w:rPr>
          <w:rFonts w:ascii="Century Gothic" w:hAnsi="Century Gothic"/>
          <w:sz w:val="21"/>
          <w:szCs w:val="21"/>
        </w:rPr>
        <w:t xml:space="preserve"> </w:t>
      </w:r>
      <w:proofErr w:type="spellStart"/>
      <w:r>
        <w:rPr>
          <w:rFonts w:ascii="Century Gothic" w:hAnsi="Century Gothic"/>
          <w:sz w:val="21"/>
          <w:szCs w:val="21"/>
        </w:rPr>
        <w:t>Tāmanuhiri</w:t>
      </w:r>
      <w:proofErr w:type="spellEnd"/>
      <w:r>
        <w:rPr>
          <w:rFonts w:ascii="Century Gothic" w:hAnsi="Century Gothic"/>
          <w:sz w:val="21"/>
          <w:szCs w:val="21"/>
        </w:rPr>
        <w:t xml:space="preserve"> census population and the </w:t>
      </w:r>
      <w:proofErr w:type="spellStart"/>
      <w:r>
        <w:rPr>
          <w:rFonts w:ascii="Century Gothic" w:hAnsi="Century Gothic"/>
          <w:sz w:val="21"/>
          <w:szCs w:val="21"/>
        </w:rPr>
        <w:t>Ngāi</w:t>
      </w:r>
      <w:proofErr w:type="spellEnd"/>
      <w:r>
        <w:rPr>
          <w:rFonts w:ascii="Century Gothic" w:hAnsi="Century Gothic"/>
          <w:sz w:val="21"/>
          <w:szCs w:val="21"/>
        </w:rPr>
        <w:t xml:space="preserve"> </w:t>
      </w:r>
      <w:proofErr w:type="spellStart"/>
      <w:r>
        <w:rPr>
          <w:rFonts w:ascii="Century Gothic" w:hAnsi="Century Gothic"/>
          <w:sz w:val="21"/>
          <w:szCs w:val="21"/>
        </w:rPr>
        <w:t>Tāmanuhiri</w:t>
      </w:r>
      <w:proofErr w:type="spellEnd"/>
      <w:r>
        <w:rPr>
          <w:rFonts w:ascii="Century Gothic" w:hAnsi="Century Gothic"/>
          <w:sz w:val="21"/>
          <w:szCs w:val="21"/>
        </w:rPr>
        <w:t xml:space="preserve"> registered population overlap. This is an issue for all iwi, given the very different processes of identification and verification involved.  Indeed, it is not unusual for iwi census and iwi registered populations to differ significantly with respect to size and composition (e.g., age-sex structure). A rigorous comparison is beyond the scope of this report</w:t>
      </w:r>
      <w:r>
        <w:rPr>
          <w:rFonts w:ascii="Century Gothic" w:hAnsi="Century Gothic"/>
          <w:sz w:val="21"/>
          <w:szCs w:val="21"/>
        </w:rPr>
        <w:t>,</w:t>
      </w:r>
      <w:r>
        <w:rPr>
          <w:rFonts w:ascii="Century Gothic" w:hAnsi="Century Gothic"/>
          <w:sz w:val="21"/>
          <w:szCs w:val="21"/>
        </w:rPr>
        <w:t xml:space="preserve"> but these differences are worth bearing in mind when using census-based analysis to inform policies relating to the register population. </w:t>
      </w:r>
    </w:p>
    <w:p w14:paraId="18EF7C04" w14:textId="77777777" w:rsidR="00CA165C" w:rsidRDefault="00CA165C" w:rsidP="00CA165C">
      <w:pPr>
        <w:spacing w:line="360" w:lineRule="auto"/>
        <w:rPr>
          <w:rFonts w:ascii="Century Gothic" w:hAnsi="Century Gothic"/>
          <w:sz w:val="21"/>
          <w:szCs w:val="21"/>
        </w:rPr>
      </w:pPr>
    </w:p>
    <w:p w14:paraId="19CDEA4C" w14:textId="42685560" w:rsidR="00CA165C" w:rsidRPr="00DE7843" w:rsidRDefault="00CA165C" w:rsidP="003F5CC8">
      <w:pPr>
        <w:spacing w:after="0" w:line="360" w:lineRule="auto"/>
        <w:rPr>
          <w:rFonts w:ascii="Century Gothic" w:hAnsi="Century Gothic"/>
          <w:sz w:val="21"/>
          <w:szCs w:val="21"/>
        </w:rPr>
      </w:pPr>
      <w:r>
        <w:rPr>
          <w:rFonts w:ascii="Century Gothic" w:hAnsi="Century Gothic"/>
          <w:sz w:val="21"/>
          <w:szCs w:val="21"/>
        </w:rPr>
        <w:t xml:space="preserve">Notwithstanding these differences, the analysis of census data offers important statistical insights into the characteristics and conditions of </w:t>
      </w:r>
      <w:proofErr w:type="spellStart"/>
      <w:proofErr w:type="gramStart"/>
      <w:r>
        <w:rPr>
          <w:rFonts w:ascii="Century Gothic" w:hAnsi="Century Gothic"/>
          <w:sz w:val="21"/>
          <w:szCs w:val="21"/>
        </w:rPr>
        <w:t>te</w:t>
      </w:r>
      <w:proofErr w:type="spellEnd"/>
      <w:proofErr w:type="gramEnd"/>
      <w:r>
        <w:rPr>
          <w:rFonts w:ascii="Century Gothic" w:hAnsi="Century Gothic"/>
          <w:sz w:val="21"/>
          <w:szCs w:val="21"/>
        </w:rPr>
        <w:t xml:space="preserve"> reo Māori speakers who self-identify as </w:t>
      </w:r>
      <w:proofErr w:type="spellStart"/>
      <w:r>
        <w:rPr>
          <w:rFonts w:ascii="Century Gothic" w:hAnsi="Century Gothic"/>
          <w:sz w:val="21"/>
          <w:szCs w:val="21"/>
        </w:rPr>
        <w:t>Ngāi</w:t>
      </w:r>
      <w:proofErr w:type="spellEnd"/>
      <w:r>
        <w:rPr>
          <w:rFonts w:ascii="Century Gothic" w:hAnsi="Century Gothic"/>
          <w:sz w:val="21"/>
          <w:szCs w:val="21"/>
        </w:rPr>
        <w:t xml:space="preserve"> </w:t>
      </w:r>
      <w:proofErr w:type="spellStart"/>
      <w:r>
        <w:rPr>
          <w:rFonts w:ascii="Century Gothic" w:hAnsi="Century Gothic"/>
          <w:sz w:val="21"/>
          <w:szCs w:val="21"/>
        </w:rPr>
        <w:t>Tāmanuhiri</w:t>
      </w:r>
      <w:proofErr w:type="spellEnd"/>
      <w:r>
        <w:rPr>
          <w:rFonts w:ascii="Century Gothic" w:hAnsi="Century Gothic"/>
          <w:sz w:val="21"/>
          <w:szCs w:val="21"/>
        </w:rPr>
        <w:t xml:space="preserve">. This report has clearly shown that </w:t>
      </w:r>
      <w:proofErr w:type="spellStart"/>
      <w:r>
        <w:rPr>
          <w:rFonts w:ascii="Century Gothic" w:hAnsi="Century Gothic"/>
          <w:sz w:val="21"/>
          <w:szCs w:val="21"/>
        </w:rPr>
        <w:t>Ngāi</w:t>
      </w:r>
      <w:proofErr w:type="spellEnd"/>
      <w:r>
        <w:rPr>
          <w:rFonts w:ascii="Century Gothic" w:hAnsi="Century Gothic"/>
          <w:sz w:val="21"/>
          <w:szCs w:val="21"/>
        </w:rPr>
        <w:t xml:space="preserve"> </w:t>
      </w:r>
      <w:proofErr w:type="spellStart"/>
      <w:r>
        <w:rPr>
          <w:rFonts w:ascii="Century Gothic" w:hAnsi="Century Gothic"/>
          <w:sz w:val="21"/>
          <w:szCs w:val="21"/>
        </w:rPr>
        <w:t>Tāmanuhiri</w:t>
      </w:r>
      <w:proofErr w:type="spellEnd"/>
      <w:r>
        <w:rPr>
          <w:rFonts w:ascii="Century Gothic" w:hAnsi="Century Gothic"/>
          <w:sz w:val="21"/>
          <w:szCs w:val="21"/>
        </w:rPr>
        <w:t xml:space="preserve"> has considerable strength and vitality when it comes to </w:t>
      </w:r>
      <w:proofErr w:type="spellStart"/>
      <w:proofErr w:type="gramStart"/>
      <w:r>
        <w:rPr>
          <w:rFonts w:ascii="Century Gothic" w:hAnsi="Century Gothic"/>
          <w:sz w:val="21"/>
          <w:szCs w:val="21"/>
        </w:rPr>
        <w:t>te</w:t>
      </w:r>
      <w:proofErr w:type="spellEnd"/>
      <w:proofErr w:type="gramEnd"/>
      <w:r>
        <w:rPr>
          <w:rFonts w:ascii="Century Gothic" w:hAnsi="Century Gothic"/>
          <w:sz w:val="21"/>
          <w:szCs w:val="21"/>
        </w:rPr>
        <w:t xml:space="preserve"> reo, having a much higher share of speakers than the vast majority of </w:t>
      </w:r>
      <w:r w:rsidR="003F5CC8">
        <w:rPr>
          <w:rFonts w:ascii="Century Gothic" w:hAnsi="Century Gothic"/>
          <w:sz w:val="21"/>
          <w:szCs w:val="21"/>
        </w:rPr>
        <w:t xml:space="preserve">other </w:t>
      </w:r>
      <w:r>
        <w:rPr>
          <w:rFonts w:ascii="Century Gothic" w:hAnsi="Century Gothic"/>
          <w:sz w:val="21"/>
          <w:szCs w:val="21"/>
        </w:rPr>
        <w:t xml:space="preserve">iwi. </w:t>
      </w:r>
      <w:proofErr w:type="spellStart"/>
      <w:r>
        <w:rPr>
          <w:rFonts w:ascii="Century Gothic" w:hAnsi="Century Gothic"/>
          <w:sz w:val="21"/>
          <w:szCs w:val="21"/>
        </w:rPr>
        <w:t>Te</w:t>
      </w:r>
      <w:proofErr w:type="spellEnd"/>
      <w:r>
        <w:rPr>
          <w:rFonts w:ascii="Century Gothic" w:hAnsi="Century Gothic"/>
          <w:sz w:val="21"/>
          <w:szCs w:val="21"/>
        </w:rPr>
        <w:t xml:space="preserve"> reo speakers who affiliate as </w:t>
      </w:r>
      <w:proofErr w:type="spellStart"/>
      <w:r>
        <w:rPr>
          <w:rFonts w:ascii="Century Gothic" w:hAnsi="Century Gothic"/>
          <w:sz w:val="21"/>
          <w:szCs w:val="21"/>
        </w:rPr>
        <w:t>Ngāi</w:t>
      </w:r>
      <w:proofErr w:type="spellEnd"/>
      <w:r>
        <w:rPr>
          <w:rFonts w:ascii="Century Gothic" w:hAnsi="Century Gothic"/>
          <w:sz w:val="21"/>
          <w:szCs w:val="21"/>
        </w:rPr>
        <w:t xml:space="preserve"> </w:t>
      </w:r>
      <w:proofErr w:type="spellStart"/>
      <w:r>
        <w:rPr>
          <w:rFonts w:ascii="Century Gothic" w:hAnsi="Century Gothic"/>
          <w:sz w:val="21"/>
          <w:szCs w:val="21"/>
        </w:rPr>
        <w:t>Tāmanuhiri</w:t>
      </w:r>
      <w:proofErr w:type="spellEnd"/>
      <w:r>
        <w:rPr>
          <w:rFonts w:ascii="Century Gothic" w:hAnsi="Century Gothic"/>
          <w:sz w:val="21"/>
          <w:szCs w:val="21"/>
        </w:rPr>
        <w:t xml:space="preserve"> also have more </w:t>
      </w:r>
      <w:r w:rsidRPr="00DE7843">
        <w:rPr>
          <w:rFonts w:ascii="Century Gothic" w:hAnsi="Century Gothic"/>
          <w:sz w:val="21"/>
          <w:szCs w:val="21"/>
        </w:rPr>
        <w:t>positive outcomes in education and the labour market</w:t>
      </w:r>
      <w:r>
        <w:rPr>
          <w:rFonts w:ascii="Century Gothic" w:hAnsi="Century Gothic"/>
          <w:sz w:val="21"/>
          <w:szCs w:val="21"/>
        </w:rPr>
        <w:t xml:space="preserve"> than </w:t>
      </w:r>
      <w:r w:rsidR="003F5CC8">
        <w:rPr>
          <w:rFonts w:ascii="Century Gothic" w:hAnsi="Century Gothic"/>
          <w:sz w:val="21"/>
          <w:szCs w:val="21"/>
        </w:rPr>
        <w:t>their</w:t>
      </w:r>
      <w:r>
        <w:rPr>
          <w:rFonts w:ascii="Century Gothic" w:hAnsi="Century Gothic"/>
          <w:sz w:val="21"/>
          <w:szCs w:val="21"/>
        </w:rPr>
        <w:t xml:space="preserve"> counterparts who don’t speak </w:t>
      </w:r>
      <w:proofErr w:type="spellStart"/>
      <w:proofErr w:type="gramStart"/>
      <w:r>
        <w:rPr>
          <w:rFonts w:ascii="Century Gothic" w:hAnsi="Century Gothic"/>
          <w:sz w:val="21"/>
          <w:szCs w:val="21"/>
        </w:rPr>
        <w:t>te</w:t>
      </w:r>
      <w:proofErr w:type="spellEnd"/>
      <w:proofErr w:type="gramEnd"/>
      <w:r>
        <w:rPr>
          <w:rFonts w:ascii="Century Gothic" w:hAnsi="Century Gothic"/>
          <w:sz w:val="21"/>
          <w:szCs w:val="21"/>
        </w:rPr>
        <w:t xml:space="preserve"> reo. While this is true of Māori generally, the difference </w:t>
      </w:r>
      <w:r w:rsidRPr="00DE7843">
        <w:rPr>
          <w:rFonts w:ascii="Century Gothic" w:hAnsi="Century Gothic"/>
          <w:sz w:val="21"/>
          <w:szCs w:val="21"/>
        </w:rPr>
        <w:t xml:space="preserve">is more </w:t>
      </w:r>
      <w:r w:rsidR="003F5CC8">
        <w:rPr>
          <w:rFonts w:ascii="Century Gothic" w:hAnsi="Century Gothic"/>
          <w:sz w:val="21"/>
          <w:szCs w:val="21"/>
        </w:rPr>
        <w:t>marked</w:t>
      </w:r>
      <w:r>
        <w:rPr>
          <w:rFonts w:ascii="Century Gothic" w:hAnsi="Century Gothic"/>
          <w:sz w:val="21"/>
          <w:szCs w:val="21"/>
        </w:rPr>
        <w:t xml:space="preserve"> for </w:t>
      </w:r>
      <w:proofErr w:type="spellStart"/>
      <w:r>
        <w:rPr>
          <w:rFonts w:ascii="Century Gothic" w:hAnsi="Century Gothic"/>
          <w:sz w:val="21"/>
          <w:szCs w:val="21"/>
        </w:rPr>
        <w:t>Ngāi</w:t>
      </w:r>
      <w:proofErr w:type="spellEnd"/>
      <w:r>
        <w:rPr>
          <w:rFonts w:ascii="Century Gothic" w:hAnsi="Century Gothic"/>
          <w:sz w:val="21"/>
          <w:szCs w:val="21"/>
        </w:rPr>
        <w:t xml:space="preserve"> </w:t>
      </w:r>
      <w:proofErr w:type="spellStart"/>
      <w:r>
        <w:rPr>
          <w:rFonts w:ascii="Century Gothic" w:hAnsi="Century Gothic"/>
          <w:sz w:val="21"/>
          <w:szCs w:val="21"/>
        </w:rPr>
        <w:t>Tāmanuhiri</w:t>
      </w:r>
      <w:proofErr w:type="spellEnd"/>
      <w:r>
        <w:rPr>
          <w:rFonts w:ascii="Century Gothic" w:hAnsi="Century Gothic"/>
          <w:sz w:val="21"/>
          <w:szCs w:val="21"/>
        </w:rPr>
        <w:t>.</w:t>
      </w:r>
      <w:r w:rsidRPr="00DE7843">
        <w:rPr>
          <w:rFonts w:ascii="Century Gothic" w:hAnsi="Century Gothic"/>
          <w:sz w:val="21"/>
          <w:szCs w:val="21"/>
        </w:rPr>
        <w:t xml:space="preserve"> </w:t>
      </w:r>
    </w:p>
    <w:p w14:paraId="0BA2224E" w14:textId="77777777" w:rsidR="00CA165C" w:rsidRDefault="00CA165C" w:rsidP="00CA165C">
      <w:pPr>
        <w:spacing w:line="360" w:lineRule="auto"/>
        <w:rPr>
          <w:rFonts w:ascii="Century Gothic" w:hAnsi="Century Gothic"/>
          <w:sz w:val="21"/>
          <w:szCs w:val="21"/>
        </w:rPr>
      </w:pPr>
    </w:p>
    <w:p w14:paraId="4D2A0A69" w14:textId="37A01C97" w:rsidR="005C16A1" w:rsidRDefault="00CA165C" w:rsidP="003F5CC8">
      <w:pPr>
        <w:spacing w:line="360" w:lineRule="auto"/>
        <w:rPr>
          <w:rFonts w:ascii="Century Gothic" w:hAnsi="Century Gothic"/>
          <w:sz w:val="21"/>
          <w:szCs w:val="21"/>
        </w:rPr>
      </w:pPr>
      <w:r w:rsidRPr="005C16A1">
        <w:rPr>
          <w:rFonts w:ascii="Century Gothic" w:hAnsi="Century Gothic"/>
          <w:sz w:val="21"/>
          <w:szCs w:val="21"/>
        </w:rPr>
        <w:t>The cross-sectional nature of the census data (</w:t>
      </w:r>
      <w:proofErr w:type="spellStart"/>
      <w:r w:rsidRPr="005C16A1">
        <w:rPr>
          <w:rFonts w:ascii="Century Gothic" w:hAnsi="Century Gothic"/>
          <w:sz w:val="21"/>
          <w:szCs w:val="21"/>
        </w:rPr>
        <w:t>i.e</w:t>
      </w:r>
      <w:proofErr w:type="spellEnd"/>
      <w:r w:rsidRPr="005C16A1">
        <w:rPr>
          <w:rFonts w:ascii="Century Gothic" w:hAnsi="Century Gothic"/>
          <w:sz w:val="21"/>
          <w:szCs w:val="21"/>
        </w:rPr>
        <w:t xml:space="preserve">, it is only a ‘snapshot’ in time) means that we cannot answer why this relationship might exist.  Is it that those who speak </w:t>
      </w:r>
      <w:proofErr w:type="spellStart"/>
      <w:proofErr w:type="gramStart"/>
      <w:r w:rsidRPr="005C16A1">
        <w:rPr>
          <w:rFonts w:ascii="Century Gothic" w:hAnsi="Century Gothic"/>
          <w:sz w:val="21"/>
          <w:szCs w:val="21"/>
        </w:rPr>
        <w:t>te</w:t>
      </w:r>
      <w:proofErr w:type="spellEnd"/>
      <w:proofErr w:type="gramEnd"/>
      <w:r w:rsidRPr="005C16A1">
        <w:rPr>
          <w:rFonts w:ascii="Century Gothic" w:hAnsi="Century Gothic"/>
          <w:sz w:val="21"/>
          <w:szCs w:val="21"/>
        </w:rPr>
        <w:t xml:space="preserve"> reo Māori are more likely to do well at school and then go on to tertiary education</w:t>
      </w:r>
      <w:r w:rsidRPr="005C16A1">
        <w:rPr>
          <w:rFonts w:ascii="Century Gothic" w:hAnsi="Century Gothic"/>
          <w:sz w:val="21"/>
          <w:szCs w:val="21"/>
        </w:rPr>
        <w:t>? O</w:t>
      </w:r>
      <w:r w:rsidRPr="005C16A1">
        <w:rPr>
          <w:rFonts w:ascii="Century Gothic" w:hAnsi="Century Gothic"/>
          <w:sz w:val="21"/>
          <w:szCs w:val="21"/>
        </w:rPr>
        <w:t xml:space="preserve">r is it that engagement in tertiary education provides a pathway into </w:t>
      </w:r>
      <w:proofErr w:type="spellStart"/>
      <w:proofErr w:type="gramStart"/>
      <w:r w:rsidRPr="005C16A1">
        <w:rPr>
          <w:rFonts w:ascii="Century Gothic" w:hAnsi="Century Gothic"/>
          <w:sz w:val="21"/>
          <w:szCs w:val="21"/>
        </w:rPr>
        <w:t>te</w:t>
      </w:r>
      <w:proofErr w:type="spellEnd"/>
      <w:proofErr w:type="gramEnd"/>
      <w:r w:rsidRPr="005C16A1">
        <w:rPr>
          <w:rFonts w:ascii="Century Gothic" w:hAnsi="Century Gothic"/>
          <w:sz w:val="21"/>
          <w:szCs w:val="21"/>
        </w:rPr>
        <w:t xml:space="preserve"> reo Māori acquisition? There are also likely to be significant </w:t>
      </w:r>
      <w:r w:rsidRPr="005C16A1">
        <w:rPr>
          <w:rFonts w:ascii="Century Gothic" w:hAnsi="Century Gothic"/>
          <w:sz w:val="21"/>
          <w:szCs w:val="21"/>
        </w:rPr>
        <w:t>cohort effects. O</w:t>
      </w:r>
      <w:r w:rsidRPr="005C16A1">
        <w:rPr>
          <w:rFonts w:ascii="Century Gothic" w:hAnsi="Century Gothic"/>
          <w:sz w:val="21"/>
          <w:szCs w:val="21"/>
        </w:rPr>
        <w:t xml:space="preserve">lder generations who grew up in Māori speaking households at a time when </w:t>
      </w:r>
      <w:proofErr w:type="spellStart"/>
      <w:proofErr w:type="gramStart"/>
      <w:r w:rsidRPr="005C16A1">
        <w:rPr>
          <w:rFonts w:ascii="Century Gothic" w:hAnsi="Century Gothic"/>
          <w:sz w:val="21"/>
          <w:szCs w:val="21"/>
        </w:rPr>
        <w:t>te</w:t>
      </w:r>
      <w:proofErr w:type="spellEnd"/>
      <w:proofErr w:type="gramEnd"/>
      <w:r w:rsidRPr="005C16A1">
        <w:rPr>
          <w:rFonts w:ascii="Century Gothic" w:hAnsi="Century Gothic"/>
          <w:sz w:val="21"/>
          <w:szCs w:val="21"/>
        </w:rPr>
        <w:t xml:space="preserve"> reo was heavily stigmatised faced severe disadvantages which made educational success very difficult. This is quite different from younger generations who acquired </w:t>
      </w:r>
      <w:proofErr w:type="spellStart"/>
      <w:r w:rsidRPr="005C16A1">
        <w:rPr>
          <w:rFonts w:ascii="Century Gothic" w:hAnsi="Century Gothic"/>
          <w:sz w:val="21"/>
          <w:szCs w:val="21"/>
        </w:rPr>
        <w:t>te</w:t>
      </w:r>
      <w:proofErr w:type="spellEnd"/>
      <w:r w:rsidRPr="005C16A1">
        <w:rPr>
          <w:rFonts w:ascii="Century Gothic" w:hAnsi="Century Gothic"/>
          <w:sz w:val="21"/>
          <w:szCs w:val="21"/>
        </w:rPr>
        <w:t xml:space="preserve"> reo through </w:t>
      </w:r>
      <w:proofErr w:type="spellStart"/>
      <w:r w:rsidRPr="005C16A1">
        <w:rPr>
          <w:rFonts w:ascii="Century Gothic" w:hAnsi="Century Gothic"/>
          <w:sz w:val="21"/>
          <w:szCs w:val="21"/>
        </w:rPr>
        <w:t>kōhanga</w:t>
      </w:r>
      <w:proofErr w:type="spellEnd"/>
      <w:r w:rsidRPr="005C16A1">
        <w:rPr>
          <w:rFonts w:ascii="Century Gothic" w:hAnsi="Century Gothic"/>
          <w:sz w:val="21"/>
          <w:szCs w:val="21"/>
        </w:rPr>
        <w:t xml:space="preserve">, </w:t>
      </w:r>
      <w:proofErr w:type="spellStart"/>
      <w:r w:rsidRPr="005C16A1">
        <w:rPr>
          <w:rFonts w:ascii="Century Gothic" w:hAnsi="Century Gothic"/>
          <w:sz w:val="21"/>
          <w:szCs w:val="21"/>
        </w:rPr>
        <w:t>kura</w:t>
      </w:r>
      <w:proofErr w:type="spellEnd"/>
      <w:r w:rsidRPr="005C16A1">
        <w:rPr>
          <w:rFonts w:ascii="Century Gothic" w:hAnsi="Century Gothic"/>
          <w:sz w:val="21"/>
          <w:szCs w:val="21"/>
        </w:rPr>
        <w:t xml:space="preserve"> and/or </w:t>
      </w:r>
      <w:proofErr w:type="spellStart"/>
      <w:r w:rsidRPr="005C16A1">
        <w:rPr>
          <w:rFonts w:ascii="Century Gothic" w:hAnsi="Century Gothic"/>
          <w:sz w:val="21"/>
          <w:szCs w:val="21"/>
        </w:rPr>
        <w:t>whare</w:t>
      </w:r>
      <w:proofErr w:type="spellEnd"/>
      <w:r w:rsidRPr="005C16A1">
        <w:rPr>
          <w:rFonts w:ascii="Century Gothic" w:hAnsi="Century Gothic"/>
          <w:sz w:val="21"/>
          <w:szCs w:val="21"/>
        </w:rPr>
        <w:t xml:space="preserve"> </w:t>
      </w:r>
      <w:proofErr w:type="spellStart"/>
      <w:r w:rsidRPr="005C16A1">
        <w:rPr>
          <w:rFonts w:ascii="Century Gothic" w:hAnsi="Century Gothic"/>
          <w:sz w:val="21"/>
          <w:szCs w:val="21"/>
        </w:rPr>
        <w:t>wānanga</w:t>
      </w:r>
      <w:proofErr w:type="spellEnd"/>
      <w:r w:rsidRPr="005C16A1">
        <w:rPr>
          <w:rFonts w:ascii="Century Gothic" w:hAnsi="Century Gothic"/>
          <w:sz w:val="21"/>
          <w:szCs w:val="21"/>
        </w:rPr>
        <w:t xml:space="preserve">, and </w:t>
      </w:r>
      <w:r w:rsidR="00FE1D1C" w:rsidRPr="005C16A1">
        <w:rPr>
          <w:rFonts w:ascii="Century Gothic" w:hAnsi="Century Gothic"/>
          <w:sz w:val="21"/>
          <w:szCs w:val="21"/>
        </w:rPr>
        <w:t xml:space="preserve">who </w:t>
      </w:r>
      <w:r w:rsidRPr="005C16A1">
        <w:rPr>
          <w:rFonts w:ascii="Century Gothic" w:hAnsi="Century Gothic"/>
          <w:sz w:val="21"/>
          <w:szCs w:val="21"/>
        </w:rPr>
        <w:t xml:space="preserve">were raised or came of age </w:t>
      </w:r>
      <w:r w:rsidRPr="005C16A1">
        <w:rPr>
          <w:rFonts w:ascii="Century Gothic" w:hAnsi="Century Gothic"/>
          <w:sz w:val="21"/>
          <w:szCs w:val="21"/>
        </w:rPr>
        <w:t xml:space="preserve">in an environment which is more favourably disposed towards valuing </w:t>
      </w:r>
      <w:proofErr w:type="spellStart"/>
      <w:r w:rsidRPr="005C16A1">
        <w:rPr>
          <w:rFonts w:ascii="Century Gothic" w:hAnsi="Century Gothic"/>
          <w:sz w:val="21"/>
          <w:szCs w:val="21"/>
        </w:rPr>
        <w:t>te</w:t>
      </w:r>
      <w:proofErr w:type="spellEnd"/>
      <w:r w:rsidRPr="005C16A1">
        <w:rPr>
          <w:rFonts w:ascii="Century Gothic" w:hAnsi="Century Gothic"/>
          <w:sz w:val="21"/>
          <w:szCs w:val="21"/>
        </w:rPr>
        <w:t xml:space="preserve"> reo Māori (albeit that there is still a long way to go). </w:t>
      </w:r>
    </w:p>
    <w:p w14:paraId="497B002F" w14:textId="77777777" w:rsidR="005C16A1" w:rsidRDefault="005C16A1" w:rsidP="005C16A1">
      <w:pPr>
        <w:spacing w:line="360" w:lineRule="auto"/>
        <w:rPr>
          <w:rFonts w:ascii="Century Gothic" w:hAnsi="Century Gothic"/>
          <w:sz w:val="21"/>
          <w:szCs w:val="21"/>
        </w:rPr>
      </w:pPr>
    </w:p>
    <w:p w14:paraId="041B1C1C" w14:textId="179B249E" w:rsidR="005C16A1" w:rsidRPr="005C16A1" w:rsidRDefault="005C16A1" w:rsidP="005C16A1">
      <w:pPr>
        <w:spacing w:line="360" w:lineRule="auto"/>
        <w:rPr>
          <w:rFonts w:ascii="Century Gothic" w:hAnsi="Century Gothic"/>
          <w:color w:val="000000" w:themeColor="text1"/>
          <w:sz w:val="21"/>
          <w:szCs w:val="21"/>
          <w:lang w:val="en-US"/>
        </w:rPr>
      </w:pPr>
      <w:r>
        <w:rPr>
          <w:rFonts w:ascii="Century Gothic" w:hAnsi="Century Gothic"/>
          <w:sz w:val="21"/>
          <w:szCs w:val="21"/>
        </w:rPr>
        <w:t xml:space="preserve">There are also important gender differences, with </w:t>
      </w:r>
      <w:proofErr w:type="spellStart"/>
      <w:r>
        <w:rPr>
          <w:rFonts w:ascii="Century Gothic" w:hAnsi="Century Gothic"/>
          <w:sz w:val="21"/>
          <w:szCs w:val="21"/>
        </w:rPr>
        <w:t>Ngāti</w:t>
      </w:r>
      <w:proofErr w:type="spellEnd"/>
      <w:r>
        <w:rPr>
          <w:rFonts w:ascii="Century Gothic" w:hAnsi="Century Gothic"/>
          <w:sz w:val="21"/>
          <w:szCs w:val="21"/>
        </w:rPr>
        <w:t xml:space="preserve"> </w:t>
      </w:r>
      <w:proofErr w:type="spellStart"/>
      <w:r>
        <w:rPr>
          <w:rFonts w:ascii="Century Gothic" w:hAnsi="Century Gothic"/>
          <w:sz w:val="21"/>
          <w:szCs w:val="21"/>
        </w:rPr>
        <w:t>Tāmanuhiri</w:t>
      </w:r>
      <w:proofErr w:type="spellEnd"/>
      <w:r>
        <w:rPr>
          <w:rFonts w:ascii="Century Gothic" w:hAnsi="Century Gothic"/>
          <w:sz w:val="21"/>
          <w:szCs w:val="21"/>
        </w:rPr>
        <w:t xml:space="preserve"> women more likely to dominate among </w:t>
      </w:r>
      <w:proofErr w:type="spellStart"/>
      <w:proofErr w:type="gramStart"/>
      <w:r>
        <w:rPr>
          <w:rFonts w:ascii="Century Gothic" w:hAnsi="Century Gothic"/>
          <w:sz w:val="21"/>
          <w:szCs w:val="21"/>
        </w:rPr>
        <w:t>te</w:t>
      </w:r>
      <w:proofErr w:type="spellEnd"/>
      <w:proofErr w:type="gramEnd"/>
      <w:r>
        <w:rPr>
          <w:rFonts w:ascii="Century Gothic" w:hAnsi="Century Gothic"/>
          <w:sz w:val="21"/>
          <w:szCs w:val="21"/>
        </w:rPr>
        <w:t xml:space="preserve"> reo speakers (</w:t>
      </w:r>
      <w:r w:rsidRPr="005C16A1">
        <w:rPr>
          <w:rFonts w:ascii="Century Gothic" w:hAnsi="Century Gothic"/>
          <w:bCs/>
          <w:color w:val="000000" w:themeColor="text1"/>
          <w:sz w:val="21"/>
          <w:szCs w:val="21"/>
        </w:rPr>
        <w:t xml:space="preserve">57 </w:t>
      </w:r>
      <w:r>
        <w:rPr>
          <w:rFonts w:ascii="Century Gothic" w:hAnsi="Century Gothic"/>
          <w:bCs/>
          <w:color w:val="000000" w:themeColor="text1"/>
          <w:sz w:val="21"/>
          <w:szCs w:val="21"/>
        </w:rPr>
        <w:t xml:space="preserve">per cent </w:t>
      </w:r>
      <w:r w:rsidRPr="005C16A1">
        <w:rPr>
          <w:rFonts w:ascii="Century Gothic" w:hAnsi="Century Gothic"/>
          <w:bCs/>
          <w:color w:val="000000" w:themeColor="text1"/>
          <w:sz w:val="21"/>
          <w:szCs w:val="21"/>
        </w:rPr>
        <w:t>females vs 43 per cent males)</w:t>
      </w:r>
      <w:r>
        <w:rPr>
          <w:rFonts w:ascii="Century Gothic" w:hAnsi="Century Gothic"/>
          <w:bCs/>
          <w:color w:val="000000" w:themeColor="text1"/>
          <w:sz w:val="21"/>
          <w:szCs w:val="21"/>
        </w:rPr>
        <w:t xml:space="preserve">. </w:t>
      </w:r>
      <w:proofErr w:type="spellStart"/>
      <w:r>
        <w:rPr>
          <w:rFonts w:ascii="Century Gothic" w:hAnsi="Century Gothic"/>
          <w:sz w:val="21"/>
          <w:szCs w:val="21"/>
        </w:rPr>
        <w:t>Ngāti</w:t>
      </w:r>
      <w:proofErr w:type="spellEnd"/>
      <w:r>
        <w:rPr>
          <w:rFonts w:ascii="Century Gothic" w:hAnsi="Century Gothic"/>
          <w:sz w:val="21"/>
          <w:szCs w:val="21"/>
        </w:rPr>
        <w:t xml:space="preserve"> </w:t>
      </w:r>
      <w:proofErr w:type="spellStart"/>
      <w:r>
        <w:rPr>
          <w:rFonts w:ascii="Century Gothic" w:hAnsi="Century Gothic"/>
          <w:sz w:val="21"/>
          <w:szCs w:val="21"/>
        </w:rPr>
        <w:t>Tāmanuhiri</w:t>
      </w:r>
      <w:proofErr w:type="spellEnd"/>
      <w:r>
        <w:rPr>
          <w:rFonts w:ascii="Century Gothic" w:hAnsi="Century Gothic"/>
          <w:sz w:val="21"/>
          <w:szCs w:val="21"/>
        </w:rPr>
        <w:t xml:space="preserve"> </w:t>
      </w:r>
      <w:r>
        <w:rPr>
          <w:rFonts w:ascii="Century Gothic" w:hAnsi="Century Gothic"/>
          <w:bCs/>
          <w:color w:val="000000" w:themeColor="text1"/>
          <w:sz w:val="21"/>
          <w:szCs w:val="21"/>
        </w:rPr>
        <w:t>women also more likely than men to have a tertiary degree, and to be managers and professionals</w:t>
      </w:r>
      <w:r w:rsidRPr="005C16A1">
        <w:rPr>
          <w:rFonts w:ascii="Century Gothic" w:hAnsi="Century Gothic"/>
          <w:bCs/>
          <w:color w:val="000000" w:themeColor="text1"/>
          <w:sz w:val="21"/>
          <w:szCs w:val="21"/>
        </w:rPr>
        <w:t>.</w:t>
      </w:r>
      <w:r>
        <w:rPr>
          <w:rFonts w:ascii="Century Gothic" w:hAnsi="Century Gothic"/>
          <w:bCs/>
          <w:color w:val="000000" w:themeColor="text1"/>
          <w:sz w:val="21"/>
          <w:szCs w:val="21"/>
        </w:rPr>
        <w:t xml:space="preserve"> </w:t>
      </w:r>
    </w:p>
    <w:p w14:paraId="660AC2C1" w14:textId="7B763551" w:rsidR="00CA165C" w:rsidRPr="003D750D" w:rsidRDefault="00CA165C" w:rsidP="008F7B54">
      <w:pPr>
        <w:spacing w:line="360" w:lineRule="auto"/>
        <w:rPr>
          <w:rFonts w:ascii="Century Gothic" w:hAnsi="Century Gothic"/>
          <w:sz w:val="21"/>
          <w:szCs w:val="21"/>
        </w:rPr>
      </w:pPr>
    </w:p>
    <w:p w14:paraId="45DE5DB3" w14:textId="1475A918" w:rsidR="00CA165C" w:rsidRDefault="00CA165C" w:rsidP="003F5CC8">
      <w:pPr>
        <w:spacing w:line="360" w:lineRule="auto"/>
        <w:rPr>
          <w:rFonts w:ascii="Century Gothic" w:hAnsi="Century Gothic"/>
          <w:sz w:val="21"/>
          <w:szCs w:val="21"/>
        </w:rPr>
      </w:pPr>
      <w:r w:rsidRPr="003D750D">
        <w:rPr>
          <w:rFonts w:ascii="Century Gothic" w:hAnsi="Century Gothic" w:cstheme="minorHAnsi"/>
          <w:sz w:val="21"/>
          <w:szCs w:val="21"/>
        </w:rPr>
        <w:lastRenderedPageBreak/>
        <w:t xml:space="preserve">The lack of detailed cultural data in the census prevents us from exploring whether those </w:t>
      </w:r>
      <w:r>
        <w:rPr>
          <w:rFonts w:ascii="Century Gothic" w:hAnsi="Century Gothic" w:cstheme="minorHAnsi"/>
          <w:sz w:val="21"/>
          <w:szCs w:val="21"/>
        </w:rPr>
        <w:t xml:space="preserve">with a </w:t>
      </w:r>
      <w:r w:rsidRPr="003D750D">
        <w:rPr>
          <w:rFonts w:ascii="Century Gothic" w:hAnsi="Century Gothic" w:cstheme="minorHAnsi"/>
          <w:sz w:val="21"/>
          <w:szCs w:val="21"/>
        </w:rPr>
        <w:t xml:space="preserve">greater sense of tribal identity and connection are more likely to commit to learning and sustaining </w:t>
      </w:r>
      <w:proofErr w:type="spellStart"/>
      <w:proofErr w:type="gramStart"/>
      <w:r w:rsidRPr="003D750D">
        <w:rPr>
          <w:rFonts w:ascii="Century Gothic" w:hAnsi="Century Gothic" w:cstheme="minorHAnsi"/>
          <w:sz w:val="21"/>
          <w:szCs w:val="21"/>
        </w:rPr>
        <w:t>te</w:t>
      </w:r>
      <w:proofErr w:type="spellEnd"/>
      <w:proofErr w:type="gramEnd"/>
      <w:r w:rsidRPr="003D750D">
        <w:rPr>
          <w:rFonts w:ascii="Century Gothic" w:hAnsi="Century Gothic" w:cstheme="minorHAnsi"/>
          <w:sz w:val="21"/>
          <w:szCs w:val="21"/>
        </w:rPr>
        <w:t xml:space="preserve"> reo. Such relationships are possible to explore in the Māori Social Survey </w:t>
      </w:r>
      <w:proofErr w:type="spellStart"/>
      <w:r w:rsidRPr="003D750D">
        <w:rPr>
          <w:rFonts w:ascii="Century Gothic" w:hAnsi="Century Gothic" w:cstheme="minorHAnsi"/>
          <w:sz w:val="21"/>
          <w:szCs w:val="21"/>
        </w:rPr>
        <w:t>Te</w:t>
      </w:r>
      <w:proofErr w:type="spellEnd"/>
      <w:r w:rsidRPr="003D750D">
        <w:rPr>
          <w:rFonts w:ascii="Century Gothic" w:hAnsi="Century Gothic" w:cstheme="minorHAnsi"/>
          <w:sz w:val="21"/>
          <w:szCs w:val="21"/>
        </w:rPr>
        <w:t xml:space="preserve"> </w:t>
      </w:r>
      <w:proofErr w:type="spellStart"/>
      <w:r w:rsidRPr="003D750D">
        <w:rPr>
          <w:rFonts w:ascii="Century Gothic" w:hAnsi="Century Gothic" w:cstheme="minorHAnsi"/>
          <w:sz w:val="21"/>
          <w:szCs w:val="21"/>
        </w:rPr>
        <w:t>Kupenga</w:t>
      </w:r>
      <w:proofErr w:type="spellEnd"/>
      <w:r w:rsidRPr="003D750D">
        <w:rPr>
          <w:rFonts w:ascii="Century Gothic" w:hAnsi="Century Gothic" w:cstheme="minorHAnsi"/>
          <w:sz w:val="21"/>
          <w:szCs w:val="21"/>
        </w:rPr>
        <w:t xml:space="preserve">, but only for Māori </w:t>
      </w:r>
      <w:r>
        <w:rPr>
          <w:rFonts w:ascii="Century Gothic" w:hAnsi="Century Gothic" w:cstheme="minorHAnsi"/>
          <w:sz w:val="21"/>
          <w:szCs w:val="21"/>
        </w:rPr>
        <w:t>in general,</w:t>
      </w:r>
      <w:r w:rsidRPr="003D750D">
        <w:rPr>
          <w:rFonts w:ascii="Century Gothic" w:hAnsi="Century Gothic" w:cstheme="minorHAnsi"/>
          <w:sz w:val="21"/>
          <w:szCs w:val="21"/>
        </w:rPr>
        <w:t xml:space="preserve"> or for the largest iwi. The number of </w:t>
      </w:r>
      <w:proofErr w:type="spellStart"/>
      <w:r w:rsidRPr="003D750D">
        <w:rPr>
          <w:rFonts w:ascii="Century Gothic" w:hAnsi="Century Gothic"/>
          <w:sz w:val="21"/>
          <w:szCs w:val="21"/>
        </w:rPr>
        <w:t>Ngāi</w:t>
      </w:r>
      <w:proofErr w:type="spellEnd"/>
      <w:r w:rsidRPr="003D750D">
        <w:rPr>
          <w:rFonts w:ascii="Century Gothic" w:hAnsi="Century Gothic"/>
          <w:sz w:val="21"/>
          <w:szCs w:val="21"/>
        </w:rPr>
        <w:t xml:space="preserve"> </w:t>
      </w:r>
      <w:proofErr w:type="spellStart"/>
      <w:r w:rsidRPr="003D750D">
        <w:rPr>
          <w:rFonts w:ascii="Century Gothic" w:hAnsi="Century Gothic"/>
          <w:sz w:val="21"/>
          <w:szCs w:val="21"/>
        </w:rPr>
        <w:t>Tāmanuhiri</w:t>
      </w:r>
      <w:proofErr w:type="spellEnd"/>
      <w:r w:rsidRPr="003D750D">
        <w:rPr>
          <w:rFonts w:ascii="Century Gothic" w:hAnsi="Century Gothic"/>
          <w:sz w:val="21"/>
          <w:szCs w:val="21"/>
        </w:rPr>
        <w:t xml:space="preserve"> respondents </w:t>
      </w:r>
      <w:r w:rsidR="00FE1D1C">
        <w:rPr>
          <w:rFonts w:ascii="Century Gothic" w:hAnsi="Century Gothic"/>
          <w:sz w:val="21"/>
          <w:szCs w:val="21"/>
        </w:rPr>
        <w:t xml:space="preserve">in </w:t>
      </w:r>
      <w:proofErr w:type="spellStart"/>
      <w:r w:rsidR="00FE1D1C">
        <w:rPr>
          <w:rFonts w:ascii="Century Gothic" w:hAnsi="Century Gothic"/>
          <w:sz w:val="21"/>
          <w:szCs w:val="21"/>
        </w:rPr>
        <w:t>Te</w:t>
      </w:r>
      <w:proofErr w:type="spellEnd"/>
      <w:r w:rsidR="00FE1D1C">
        <w:rPr>
          <w:rFonts w:ascii="Century Gothic" w:hAnsi="Century Gothic"/>
          <w:sz w:val="21"/>
          <w:szCs w:val="21"/>
        </w:rPr>
        <w:t xml:space="preserve"> </w:t>
      </w:r>
      <w:proofErr w:type="spellStart"/>
      <w:r w:rsidR="00FE1D1C">
        <w:rPr>
          <w:rFonts w:ascii="Century Gothic" w:hAnsi="Century Gothic"/>
          <w:sz w:val="21"/>
          <w:szCs w:val="21"/>
        </w:rPr>
        <w:t>Kupenga</w:t>
      </w:r>
      <w:proofErr w:type="spellEnd"/>
      <w:r w:rsidR="00FE1D1C">
        <w:rPr>
          <w:rFonts w:ascii="Century Gothic" w:hAnsi="Century Gothic"/>
          <w:sz w:val="21"/>
          <w:szCs w:val="21"/>
        </w:rPr>
        <w:t xml:space="preserve"> </w:t>
      </w:r>
      <w:r w:rsidRPr="003D750D">
        <w:rPr>
          <w:rFonts w:ascii="Century Gothic" w:hAnsi="Century Gothic"/>
          <w:sz w:val="21"/>
          <w:szCs w:val="21"/>
        </w:rPr>
        <w:t>was too small to allow for any sort of detailed analysis</w:t>
      </w:r>
      <w:r>
        <w:rPr>
          <w:rFonts w:ascii="Century Gothic" w:hAnsi="Century Gothic"/>
          <w:sz w:val="21"/>
          <w:szCs w:val="21"/>
        </w:rPr>
        <w:t xml:space="preserve"> of the relationships between </w:t>
      </w:r>
      <w:proofErr w:type="spellStart"/>
      <w:proofErr w:type="gramStart"/>
      <w:r>
        <w:rPr>
          <w:rFonts w:ascii="Century Gothic" w:hAnsi="Century Gothic"/>
          <w:sz w:val="21"/>
          <w:szCs w:val="21"/>
        </w:rPr>
        <w:t>te</w:t>
      </w:r>
      <w:proofErr w:type="spellEnd"/>
      <w:proofErr w:type="gramEnd"/>
      <w:r>
        <w:rPr>
          <w:rFonts w:ascii="Century Gothic" w:hAnsi="Century Gothic"/>
          <w:sz w:val="21"/>
          <w:szCs w:val="21"/>
        </w:rPr>
        <w:t xml:space="preserve"> reo capability and cultural identity</w:t>
      </w:r>
      <w:r w:rsidRPr="003D750D">
        <w:rPr>
          <w:rFonts w:ascii="Century Gothic" w:hAnsi="Century Gothic"/>
          <w:sz w:val="21"/>
          <w:szCs w:val="21"/>
        </w:rPr>
        <w:t>.</w:t>
      </w:r>
    </w:p>
    <w:p w14:paraId="00E4C834" w14:textId="77777777" w:rsidR="003F5CC8" w:rsidRPr="003D750D" w:rsidRDefault="003F5CC8" w:rsidP="003F5CC8">
      <w:pPr>
        <w:spacing w:line="360" w:lineRule="auto"/>
        <w:rPr>
          <w:rFonts w:ascii="Century Gothic" w:hAnsi="Century Gothic" w:cstheme="minorHAnsi"/>
          <w:sz w:val="21"/>
          <w:szCs w:val="21"/>
        </w:rPr>
      </w:pPr>
    </w:p>
    <w:p w14:paraId="691C9502" w14:textId="144E3B6F" w:rsidR="008F7B54" w:rsidRDefault="00CA165C" w:rsidP="003F5CC8">
      <w:pPr>
        <w:spacing w:line="360" w:lineRule="auto"/>
        <w:rPr>
          <w:rFonts w:ascii="Century Gothic" w:hAnsi="Century Gothic"/>
          <w:sz w:val="21"/>
          <w:szCs w:val="21"/>
        </w:rPr>
      </w:pPr>
      <w:r w:rsidRPr="003D750D">
        <w:rPr>
          <w:rFonts w:ascii="Century Gothic" w:hAnsi="Century Gothic"/>
          <w:sz w:val="21"/>
          <w:szCs w:val="21"/>
        </w:rPr>
        <w:t xml:space="preserve">What is </w:t>
      </w:r>
      <w:r w:rsidR="008F7B54">
        <w:rPr>
          <w:rFonts w:ascii="Century Gothic" w:hAnsi="Century Gothic"/>
          <w:sz w:val="21"/>
          <w:szCs w:val="21"/>
        </w:rPr>
        <w:t xml:space="preserve">evident from this report is that </w:t>
      </w:r>
      <w:proofErr w:type="spellStart"/>
      <w:r w:rsidR="008F7B54">
        <w:rPr>
          <w:rFonts w:ascii="Century Gothic" w:hAnsi="Century Gothic"/>
          <w:sz w:val="21"/>
          <w:szCs w:val="21"/>
        </w:rPr>
        <w:t>Ngāi</w:t>
      </w:r>
      <w:proofErr w:type="spellEnd"/>
      <w:r w:rsidR="008F7B54">
        <w:rPr>
          <w:rFonts w:ascii="Century Gothic" w:hAnsi="Century Gothic"/>
          <w:sz w:val="21"/>
          <w:szCs w:val="21"/>
        </w:rPr>
        <w:t xml:space="preserve"> </w:t>
      </w:r>
      <w:proofErr w:type="spellStart"/>
      <w:r w:rsidR="008F7B54">
        <w:rPr>
          <w:rFonts w:ascii="Century Gothic" w:hAnsi="Century Gothic"/>
          <w:sz w:val="21"/>
          <w:szCs w:val="21"/>
        </w:rPr>
        <w:t>Tāimanuhiri</w:t>
      </w:r>
      <w:proofErr w:type="spellEnd"/>
      <w:r w:rsidR="008F7B54">
        <w:rPr>
          <w:rFonts w:ascii="Century Gothic" w:hAnsi="Century Gothic"/>
          <w:sz w:val="21"/>
          <w:szCs w:val="21"/>
        </w:rPr>
        <w:t xml:space="preserve"> has a very strong foundation from which to build </w:t>
      </w:r>
      <w:proofErr w:type="spellStart"/>
      <w:proofErr w:type="gramStart"/>
      <w:r w:rsidR="008F7B54">
        <w:rPr>
          <w:rFonts w:ascii="Century Gothic" w:hAnsi="Century Gothic"/>
          <w:sz w:val="21"/>
          <w:szCs w:val="21"/>
        </w:rPr>
        <w:t>te</w:t>
      </w:r>
      <w:proofErr w:type="spellEnd"/>
      <w:proofErr w:type="gramEnd"/>
      <w:r w:rsidR="008F7B54">
        <w:rPr>
          <w:rFonts w:ascii="Century Gothic" w:hAnsi="Century Gothic"/>
          <w:sz w:val="21"/>
          <w:szCs w:val="21"/>
        </w:rPr>
        <w:t xml:space="preserve"> reo Māori capacity as part of the</w:t>
      </w:r>
      <w:r w:rsidR="008F7B54" w:rsidRPr="008F7B54">
        <w:rPr>
          <w:rFonts w:ascii="Century Gothic" w:hAnsi="Century Gothic"/>
          <w:i/>
          <w:iCs/>
          <w:sz w:val="21"/>
          <w:szCs w:val="21"/>
        </w:rPr>
        <w:t xml:space="preserve"> </w:t>
      </w:r>
      <w:proofErr w:type="spellStart"/>
      <w:r w:rsidR="008F7B54" w:rsidRPr="00B858A9">
        <w:rPr>
          <w:rFonts w:ascii="Century Gothic" w:hAnsi="Century Gothic"/>
          <w:i/>
          <w:iCs/>
          <w:sz w:val="21"/>
          <w:szCs w:val="21"/>
        </w:rPr>
        <w:t>Mana</w:t>
      </w:r>
      <w:proofErr w:type="spellEnd"/>
      <w:r w:rsidR="008F7B54" w:rsidRPr="00B858A9">
        <w:rPr>
          <w:rFonts w:ascii="Century Gothic" w:hAnsi="Century Gothic"/>
          <w:i/>
          <w:iCs/>
          <w:sz w:val="21"/>
          <w:szCs w:val="21"/>
        </w:rPr>
        <w:t xml:space="preserve"> </w:t>
      </w:r>
      <w:proofErr w:type="spellStart"/>
      <w:r w:rsidR="008F7B54" w:rsidRPr="00B858A9">
        <w:rPr>
          <w:rFonts w:ascii="Century Gothic" w:hAnsi="Century Gothic"/>
          <w:i/>
          <w:iCs/>
          <w:sz w:val="21"/>
          <w:szCs w:val="21"/>
        </w:rPr>
        <w:t>Tīpuna</w:t>
      </w:r>
      <w:proofErr w:type="spellEnd"/>
      <w:r w:rsidR="008F7B54" w:rsidRPr="00B858A9">
        <w:rPr>
          <w:rFonts w:ascii="Century Gothic" w:hAnsi="Century Gothic"/>
          <w:sz w:val="21"/>
          <w:szCs w:val="21"/>
        </w:rPr>
        <w:t xml:space="preserve"> Cultural Development Strategy.</w:t>
      </w:r>
      <w:r w:rsidR="008F7B54">
        <w:rPr>
          <w:rFonts w:ascii="Century Gothic" w:hAnsi="Century Gothic"/>
          <w:sz w:val="21"/>
          <w:szCs w:val="21"/>
        </w:rPr>
        <w:t xml:space="preserve"> The real challenge may be sustaining those strengths, rather than ‘revitalizing’ </w:t>
      </w:r>
      <w:r w:rsidR="003F5CC8">
        <w:rPr>
          <w:rFonts w:ascii="Century Gothic" w:hAnsi="Century Gothic"/>
          <w:sz w:val="21"/>
          <w:szCs w:val="21"/>
        </w:rPr>
        <w:t>them</w:t>
      </w:r>
      <w:r w:rsidR="008F7B54">
        <w:rPr>
          <w:rFonts w:ascii="Century Gothic" w:hAnsi="Century Gothic"/>
          <w:sz w:val="21"/>
          <w:szCs w:val="21"/>
        </w:rPr>
        <w:t>.</w:t>
      </w:r>
    </w:p>
    <w:p w14:paraId="30DC8D58" w14:textId="77777777" w:rsidR="008F7B54" w:rsidRDefault="008F7B54" w:rsidP="008F7B54">
      <w:pPr>
        <w:rPr>
          <w:rFonts w:ascii="Century Gothic" w:hAnsi="Century Gothic"/>
          <w:sz w:val="21"/>
          <w:szCs w:val="21"/>
        </w:rPr>
      </w:pPr>
    </w:p>
    <w:p w14:paraId="77EE75C5" w14:textId="39BD44CF" w:rsidR="00296434" w:rsidRDefault="00296434" w:rsidP="0065189F"/>
    <w:p w14:paraId="1D88DF3C" w14:textId="684CD900" w:rsidR="00296434" w:rsidRPr="00711801" w:rsidRDefault="00296434" w:rsidP="00296434">
      <w:pPr>
        <w:pStyle w:val="Heading1"/>
        <w:rPr>
          <w:rFonts w:ascii="Century Gothic" w:hAnsi="Century Gothic"/>
          <w:b/>
          <w:bCs/>
          <w:color w:val="3DA5BD"/>
        </w:rPr>
      </w:pPr>
      <w:bookmarkStart w:id="57" w:name="_Toc491783054"/>
      <w:r w:rsidRPr="00711801">
        <w:rPr>
          <w:rFonts w:ascii="Century Gothic" w:hAnsi="Century Gothic"/>
          <w:b/>
          <w:bCs/>
          <w:color w:val="3DA5BD"/>
        </w:rPr>
        <w:t>References</w:t>
      </w:r>
      <w:bookmarkEnd w:id="57"/>
    </w:p>
    <w:p w14:paraId="2D058C72" w14:textId="1C797A1D" w:rsidR="00296434" w:rsidRDefault="00296434" w:rsidP="0065189F"/>
    <w:sdt>
      <w:sdtPr>
        <w:rPr>
          <w:rFonts w:ascii="Century Gothic" w:hAnsi="Century Gothic"/>
          <w:b/>
          <w:bCs/>
          <w:color w:val="3DA5BD"/>
          <w:sz w:val="21"/>
          <w:szCs w:val="21"/>
        </w:rPr>
        <w:id w:val="686648952"/>
        <w:docPartObj>
          <w:docPartGallery w:val="Bibliographies"/>
          <w:docPartUnique/>
        </w:docPartObj>
      </w:sdtPr>
      <w:sdtEndPr>
        <w:rPr>
          <w:b w:val="0"/>
          <w:bCs w:val="0"/>
          <w:color w:val="auto"/>
        </w:rPr>
      </w:sdtEndPr>
      <w:sdtContent>
        <w:bookmarkStart w:id="58" w:name="_Toc487141635" w:displacedByCustomXml="prev"/>
        <w:p w14:paraId="4324E59B" w14:textId="2D2F0415" w:rsidR="00112C29" w:rsidRPr="00296434" w:rsidRDefault="00112C29" w:rsidP="00296434">
          <w:pPr>
            <w:spacing w:line="360" w:lineRule="auto"/>
            <w:rPr>
              <w:rFonts w:ascii="Century Gothic" w:hAnsi="Century Gothic"/>
              <w:sz w:val="21"/>
              <w:szCs w:val="21"/>
            </w:rPr>
          </w:pPr>
          <w:r w:rsidRPr="00296434">
            <w:rPr>
              <w:rFonts w:ascii="Century Gothic" w:hAnsi="Century Gothic"/>
              <w:sz w:val="21"/>
              <w:szCs w:val="21"/>
            </w:rPr>
            <w:t xml:space="preserve">Bauer, W. (2008). Is the health of </w:t>
          </w:r>
          <w:proofErr w:type="spellStart"/>
          <w:r w:rsidRPr="00296434">
            <w:rPr>
              <w:rFonts w:ascii="Century Gothic" w:hAnsi="Century Gothic"/>
              <w:sz w:val="21"/>
              <w:szCs w:val="21"/>
            </w:rPr>
            <w:t>Te</w:t>
          </w:r>
          <w:proofErr w:type="spellEnd"/>
          <w:r w:rsidRPr="00296434">
            <w:rPr>
              <w:rFonts w:ascii="Century Gothic" w:hAnsi="Century Gothic"/>
              <w:sz w:val="21"/>
              <w:szCs w:val="21"/>
            </w:rPr>
            <w:t xml:space="preserve"> Reo Māori improving? </w:t>
          </w:r>
          <w:proofErr w:type="spellStart"/>
          <w:r w:rsidRPr="00296434">
            <w:rPr>
              <w:rFonts w:ascii="Century Gothic" w:hAnsi="Century Gothic"/>
              <w:i/>
              <w:iCs/>
              <w:sz w:val="21"/>
              <w:szCs w:val="21"/>
            </w:rPr>
            <w:t>Te</w:t>
          </w:r>
          <w:proofErr w:type="spellEnd"/>
          <w:r w:rsidRPr="00296434">
            <w:rPr>
              <w:rFonts w:ascii="Century Gothic" w:hAnsi="Century Gothic"/>
              <w:i/>
              <w:iCs/>
              <w:sz w:val="21"/>
              <w:szCs w:val="21"/>
            </w:rPr>
            <w:t xml:space="preserve"> Reo</w:t>
          </w:r>
          <w:r w:rsidRPr="00296434">
            <w:rPr>
              <w:rFonts w:ascii="Century Gothic" w:hAnsi="Century Gothic"/>
              <w:sz w:val="21"/>
              <w:szCs w:val="21"/>
            </w:rPr>
            <w:t xml:space="preserve">, </w:t>
          </w:r>
          <w:r w:rsidRPr="00296434">
            <w:rPr>
              <w:rFonts w:ascii="Century Gothic" w:hAnsi="Century Gothic"/>
              <w:i/>
              <w:iCs/>
              <w:sz w:val="21"/>
              <w:szCs w:val="21"/>
            </w:rPr>
            <w:t>51</w:t>
          </w:r>
          <w:r w:rsidRPr="00296434">
            <w:rPr>
              <w:rFonts w:ascii="Century Gothic" w:hAnsi="Century Gothic"/>
              <w:sz w:val="21"/>
              <w:szCs w:val="21"/>
            </w:rPr>
            <w:t>, 33-73.</w:t>
          </w:r>
        </w:p>
        <w:p w14:paraId="6AE170D0" w14:textId="35FE8265" w:rsidR="00112C29" w:rsidRPr="00296434" w:rsidRDefault="00112C29" w:rsidP="00296434">
          <w:pPr>
            <w:spacing w:line="360" w:lineRule="auto"/>
            <w:rPr>
              <w:rFonts w:ascii="Century Gothic" w:hAnsi="Century Gothic" w:cs="Arial"/>
              <w:sz w:val="21"/>
              <w:szCs w:val="21"/>
              <w:shd w:val="clear" w:color="auto" w:fill="FFFFFF"/>
            </w:rPr>
          </w:pPr>
          <w:r w:rsidRPr="00296434">
            <w:rPr>
              <w:rFonts w:ascii="Century Gothic" w:hAnsi="Century Gothic" w:cs="Arial"/>
              <w:sz w:val="21"/>
              <w:szCs w:val="21"/>
              <w:shd w:val="clear" w:color="auto" w:fill="FFFFFF"/>
            </w:rPr>
            <w:t>Hamer, P. (2008).  One in six? The rapid growth of the Māori population in Australia." </w:t>
          </w:r>
          <w:r w:rsidRPr="00296434">
            <w:rPr>
              <w:rFonts w:ascii="Century Gothic" w:hAnsi="Century Gothic" w:cs="Arial"/>
              <w:i/>
              <w:iCs/>
              <w:sz w:val="21"/>
              <w:szCs w:val="21"/>
              <w:shd w:val="clear" w:color="auto" w:fill="FFFFFF"/>
            </w:rPr>
            <w:t>New Zealand Population Review,</w:t>
          </w:r>
          <w:r w:rsidRPr="00296434">
            <w:rPr>
              <w:rFonts w:ascii="Century Gothic" w:hAnsi="Century Gothic" w:cs="Arial"/>
              <w:sz w:val="21"/>
              <w:szCs w:val="21"/>
              <w:shd w:val="clear" w:color="auto" w:fill="FFFFFF"/>
            </w:rPr>
            <w:t> </w:t>
          </w:r>
          <w:r w:rsidRPr="00296434">
            <w:rPr>
              <w:rFonts w:ascii="Century Gothic" w:hAnsi="Century Gothic" w:cs="Arial"/>
              <w:i/>
              <w:iCs/>
              <w:sz w:val="21"/>
              <w:szCs w:val="21"/>
              <w:shd w:val="clear" w:color="auto" w:fill="FFFFFF"/>
            </w:rPr>
            <w:t>33-34</w:t>
          </w:r>
          <w:r w:rsidRPr="00296434">
            <w:rPr>
              <w:rFonts w:ascii="Century Gothic" w:hAnsi="Century Gothic" w:cs="Arial"/>
              <w:sz w:val="21"/>
              <w:szCs w:val="21"/>
              <w:shd w:val="clear" w:color="auto" w:fill="FFFFFF"/>
            </w:rPr>
            <w:t>, 153-176.</w:t>
          </w:r>
        </w:p>
        <w:p w14:paraId="347832E9" w14:textId="24255BBA" w:rsidR="00112C29" w:rsidRPr="00296434" w:rsidRDefault="00842426" w:rsidP="00296434">
          <w:pPr>
            <w:spacing w:line="360" w:lineRule="auto"/>
            <w:rPr>
              <w:rFonts w:ascii="Century Gothic" w:hAnsi="Century Gothic"/>
              <w:sz w:val="21"/>
              <w:szCs w:val="21"/>
            </w:rPr>
          </w:pPr>
          <w:proofErr w:type="spellStart"/>
          <w:r w:rsidRPr="00296434">
            <w:rPr>
              <w:rFonts w:ascii="Century Gothic" w:hAnsi="Century Gothic"/>
              <w:sz w:val="21"/>
              <w:szCs w:val="21"/>
            </w:rPr>
            <w:t>Kukutai</w:t>
          </w:r>
          <w:proofErr w:type="spellEnd"/>
          <w:r w:rsidRPr="00296434">
            <w:rPr>
              <w:rFonts w:ascii="Century Gothic" w:hAnsi="Century Gothic"/>
              <w:sz w:val="21"/>
              <w:szCs w:val="21"/>
            </w:rPr>
            <w:t xml:space="preserve">, T. &amp; </w:t>
          </w:r>
          <w:proofErr w:type="spellStart"/>
          <w:r w:rsidRPr="00296434">
            <w:rPr>
              <w:rFonts w:ascii="Century Gothic" w:hAnsi="Century Gothic"/>
              <w:sz w:val="21"/>
              <w:szCs w:val="21"/>
            </w:rPr>
            <w:t>Rarere</w:t>
          </w:r>
          <w:proofErr w:type="spellEnd"/>
          <w:r w:rsidRPr="00296434">
            <w:rPr>
              <w:rFonts w:ascii="Century Gothic" w:hAnsi="Century Gothic"/>
              <w:sz w:val="21"/>
              <w:szCs w:val="21"/>
            </w:rPr>
            <w:t xml:space="preserve">, M. (2013). Tracking patterns of tribal identification in the New Zealand census 1991 to 2006. </w:t>
          </w:r>
          <w:r w:rsidRPr="00296434">
            <w:rPr>
              <w:rFonts w:ascii="Century Gothic" w:hAnsi="Century Gothic"/>
              <w:i/>
              <w:iCs/>
              <w:sz w:val="21"/>
              <w:szCs w:val="21"/>
            </w:rPr>
            <w:t>New Zealand Population Review, 39</w:t>
          </w:r>
          <w:r w:rsidR="00112C29" w:rsidRPr="00296434">
            <w:rPr>
              <w:rFonts w:ascii="Century Gothic" w:hAnsi="Century Gothic"/>
              <w:sz w:val="21"/>
              <w:szCs w:val="21"/>
            </w:rPr>
            <w:t>,</w:t>
          </w:r>
          <w:r w:rsidRPr="00296434">
            <w:rPr>
              <w:rFonts w:ascii="Century Gothic" w:hAnsi="Century Gothic"/>
              <w:sz w:val="21"/>
              <w:szCs w:val="21"/>
            </w:rPr>
            <w:t xml:space="preserve"> 1-24.</w:t>
          </w:r>
          <w:bookmarkEnd w:id="58"/>
        </w:p>
        <w:p w14:paraId="606FC437" w14:textId="0958EA83" w:rsidR="00887E3C" w:rsidRPr="00296434" w:rsidRDefault="00887E3C" w:rsidP="00296434">
          <w:pPr>
            <w:spacing w:line="360" w:lineRule="auto"/>
            <w:rPr>
              <w:rFonts w:ascii="Century Gothic" w:hAnsi="Century Gothic"/>
              <w:sz w:val="21"/>
              <w:szCs w:val="21"/>
            </w:rPr>
          </w:pPr>
          <w:proofErr w:type="spellStart"/>
          <w:r w:rsidRPr="00296434">
            <w:rPr>
              <w:rFonts w:ascii="Century Gothic" w:hAnsi="Century Gothic"/>
              <w:sz w:val="21"/>
              <w:szCs w:val="21"/>
            </w:rPr>
            <w:t>Kukutai</w:t>
          </w:r>
          <w:proofErr w:type="spellEnd"/>
          <w:r w:rsidRPr="00296434">
            <w:rPr>
              <w:rFonts w:ascii="Century Gothic" w:hAnsi="Century Gothic"/>
              <w:sz w:val="21"/>
              <w:szCs w:val="21"/>
            </w:rPr>
            <w:t xml:space="preserve">, T., </w:t>
          </w:r>
          <w:proofErr w:type="spellStart"/>
          <w:r w:rsidRPr="00296434">
            <w:rPr>
              <w:rFonts w:ascii="Century Gothic" w:hAnsi="Century Gothic"/>
              <w:sz w:val="21"/>
              <w:szCs w:val="21"/>
            </w:rPr>
            <w:t>Rarere</w:t>
          </w:r>
          <w:proofErr w:type="spellEnd"/>
          <w:r w:rsidRPr="00296434">
            <w:rPr>
              <w:rFonts w:ascii="Century Gothic" w:hAnsi="Century Gothic"/>
              <w:sz w:val="21"/>
              <w:szCs w:val="21"/>
            </w:rPr>
            <w:t xml:space="preserve">, M., &amp; </w:t>
          </w:r>
          <w:proofErr w:type="spellStart"/>
          <w:r w:rsidRPr="00296434">
            <w:rPr>
              <w:rFonts w:ascii="Century Gothic" w:hAnsi="Century Gothic"/>
              <w:sz w:val="21"/>
              <w:szCs w:val="21"/>
            </w:rPr>
            <w:t>Pawar</w:t>
          </w:r>
          <w:proofErr w:type="spellEnd"/>
          <w:r w:rsidRPr="00296434">
            <w:rPr>
              <w:rFonts w:ascii="Century Gothic" w:hAnsi="Century Gothic"/>
              <w:sz w:val="21"/>
              <w:szCs w:val="21"/>
            </w:rPr>
            <w:t xml:space="preserve">, S. (2015). </w:t>
          </w:r>
          <w:proofErr w:type="spellStart"/>
          <w:r w:rsidR="00047DBD" w:rsidRPr="00296434">
            <w:rPr>
              <w:rFonts w:ascii="Century Gothic" w:hAnsi="Century Gothic"/>
              <w:sz w:val="21"/>
              <w:szCs w:val="21"/>
            </w:rPr>
            <w:t>Te</w:t>
          </w:r>
          <w:proofErr w:type="spellEnd"/>
          <w:r w:rsidR="00047DBD" w:rsidRPr="00296434">
            <w:rPr>
              <w:rFonts w:ascii="Century Gothic" w:hAnsi="Century Gothic"/>
              <w:sz w:val="21"/>
              <w:szCs w:val="21"/>
            </w:rPr>
            <w:t xml:space="preserve"> Reo Māori</w:t>
          </w:r>
          <w:r w:rsidRPr="00296434">
            <w:rPr>
              <w:rFonts w:ascii="Century Gothic" w:hAnsi="Century Gothic"/>
              <w:sz w:val="21"/>
              <w:szCs w:val="21"/>
            </w:rPr>
            <w:t xml:space="preserve"> in the Census (Brief No. 6). Hamilton, New Zealand: University of Waikato, National Institute of Demographic and Economic Analysis. </w:t>
          </w:r>
        </w:p>
        <w:sdt>
          <w:sdtPr>
            <w:rPr>
              <w:rFonts w:ascii="Century Gothic" w:hAnsi="Century Gothic"/>
              <w:sz w:val="21"/>
              <w:szCs w:val="21"/>
            </w:rPr>
            <w:id w:val="-573587230"/>
            <w:bibliography/>
          </w:sdtPr>
          <w:sdtEndPr/>
          <w:sdtContent>
            <w:p w14:paraId="51BBCB2C" w14:textId="171D7720" w:rsidR="00842426" w:rsidRPr="00296434" w:rsidRDefault="00842426" w:rsidP="00296434">
              <w:pPr>
                <w:spacing w:line="360" w:lineRule="auto"/>
                <w:rPr>
                  <w:rFonts w:ascii="Century Gothic" w:hAnsi="Century Gothic"/>
                  <w:sz w:val="21"/>
                  <w:szCs w:val="21"/>
                </w:rPr>
              </w:pPr>
              <w:r w:rsidRPr="00296434">
                <w:rPr>
                  <w:rFonts w:ascii="Century Gothic" w:hAnsi="Century Gothic"/>
                  <w:sz w:val="21"/>
                  <w:szCs w:val="21"/>
                </w:rPr>
                <w:t xml:space="preserve">Ministry of Social Development (2016). The social report. </w:t>
              </w:r>
              <w:proofErr w:type="spellStart"/>
              <w:r w:rsidRPr="00296434">
                <w:rPr>
                  <w:rFonts w:ascii="Century Gothic" w:hAnsi="Century Gothic"/>
                  <w:sz w:val="21"/>
                  <w:szCs w:val="21"/>
                </w:rPr>
                <w:t>Te</w:t>
              </w:r>
              <w:proofErr w:type="spellEnd"/>
              <w:r w:rsidRPr="00296434">
                <w:rPr>
                  <w:rFonts w:ascii="Century Gothic" w:hAnsi="Century Gothic"/>
                  <w:sz w:val="21"/>
                  <w:szCs w:val="21"/>
                </w:rPr>
                <w:t xml:space="preserve"> </w:t>
              </w:r>
              <w:proofErr w:type="spellStart"/>
              <w:r w:rsidRPr="00296434">
                <w:rPr>
                  <w:rFonts w:ascii="Century Gothic" w:hAnsi="Century Gothic"/>
                  <w:sz w:val="21"/>
                  <w:szCs w:val="21"/>
                </w:rPr>
                <w:t>pūronga</w:t>
              </w:r>
              <w:proofErr w:type="spellEnd"/>
              <w:r w:rsidRPr="00296434">
                <w:rPr>
                  <w:rFonts w:ascii="Century Gothic" w:hAnsi="Century Gothic"/>
                  <w:sz w:val="21"/>
                  <w:szCs w:val="21"/>
                </w:rPr>
                <w:t xml:space="preserve"> </w:t>
              </w:r>
              <w:proofErr w:type="spellStart"/>
              <w:r w:rsidRPr="00296434">
                <w:rPr>
                  <w:rFonts w:ascii="Century Gothic" w:hAnsi="Century Gothic"/>
                  <w:sz w:val="21"/>
                  <w:szCs w:val="21"/>
                </w:rPr>
                <w:t>oranga</w:t>
              </w:r>
              <w:proofErr w:type="spellEnd"/>
              <w:r w:rsidRPr="00296434">
                <w:rPr>
                  <w:rFonts w:ascii="Century Gothic" w:hAnsi="Century Gothic"/>
                  <w:sz w:val="21"/>
                  <w:szCs w:val="21"/>
                </w:rPr>
                <w:t xml:space="preserve"> </w:t>
              </w:r>
              <w:proofErr w:type="spellStart"/>
              <w:r w:rsidRPr="00296434">
                <w:rPr>
                  <w:rFonts w:ascii="Century Gothic" w:hAnsi="Century Gothic"/>
                  <w:sz w:val="21"/>
                  <w:szCs w:val="21"/>
                </w:rPr>
                <w:t>tangata</w:t>
              </w:r>
              <w:proofErr w:type="spellEnd"/>
              <w:r w:rsidRPr="00296434">
                <w:rPr>
                  <w:rFonts w:ascii="Century Gothic" w:hAnsi="Century Gothic"/>
                  <w:sz w:val="21"/>
                  <w:szCs w:val="21"/>
                </w:rPr>
                <w:t xml:space="preserve">. Wellington: Ministry of Social Development. </w:t>
              </w:r>
            </w:p>
            <w:p w14:paraId="0ECB5C55" w14:textId="77777777" w:rsidR="00842426" w:rsidRPr="00296434" w:rsidRDefault="00842426" w:rsidP="00296434">
              <w:pPr>
                <w:spacing w:line="360" w:lineRule="auto"/>
                <w:rPr>
                  <w:rFonts w:ascii="Century Gothic" w:hAnsi="Century Gothic"/>
                  <w:sz w:val="21"/>
                  <w:szCs w:val="21"/>
                </w:rPr>
              </w:pPr>
              <w:proofErr w:type="spellStart"/>
              <w:r w:rsidRPr="00296434">
                <w:rPr>
                  <w:rFonts w:ascii="Century Gothic" w:hAnsi="Century Gothic"/>
                  <w:sz w:val="21"/>
                  <w:szCs w:val="21"/>
                  <w:lang w:val="fr-FR"/>
                </w:rPr>
                <w:t>Simmonds</w:t>
              </w:r>
              <w:proofErr w:type="spellEnd"/>
              <w:r w:rsidRPr="00296434">
                <w:rPr>
                  <w:rFonts w:ascii="Century Gothic" w:hAnsi="Century Gothic"/>
                  <w:sz w:val="21"/>
                  <w:szCs w:val="21"/>
                  <w:lang w:val="fr-FR"/>
                </w:rPr>
                <w:t xml:space="preserve">, N., </w:t>
              </w:r>
              <w:proofErr w:type="spellStart"/>
              <w:r w:rsidRPr="00296434">
                <w:rPr>
                  <w:rFonts w:ascii="Century Gothic" w:hAnsi="Century Gothic"/>
                  <w:sz w:val="21"/>
                  <w:szCs w:val="21"/>
                  <w:lang w:val="fr-FR"/>
                </w:rPr>
                <w:t>Kukutai</w:t>
              </w:r>
              <w:proofErr w:type="spellEnd"/>
              <w:r w:rsidRPr="00296434">
                <w:rPr>
                  <w:rFonts w:ascii="Century Gothic" w:hAnsi="Century Gothic"/>
                  <w:sz w:val="21"/>
                  <w:szCs w:val="21"/>
                  <w:lang w:val="fr-FR"/>
                </w:rPr>
                <w:t xml:space="preserve">, T., &amp; </w:t>
              </w:r>
              <w:proofErr w:type="spellStart"/>
              <w:r w:rsidRPr="00296434">
                <w:rPr>
                  <w:rFonts w:ascii="Century Gothic" w:hAnsi="Century Gothic"/>
                  <w:sz w:val="21"/>
                  <w:szCs w:val="21"/>
                  <w:lang w:val="fr-FR"/>
                </w:rPr>
                <w:t>Ryks</w:t>
              </w:r>
              <w:proofErr w:type="spellEnd"/>
              <w:r w:rsidRPr="00296434">
                <w:rPr>
                  <w:rFonts w:ascii="Century Gothic" w:hAnsi="Century Gothic"/>
                  <w:sz w:val="21"/>
                  <w:szCs w:val="21"/>
                  <w:lang w:val="fr-FR"/>
                </w:rPr>
                <w:t xml:space="preserve">, J. (2016). </w:t>
              </w:r>
              <w:r w:rsidRPr="00296434">
                <w:rPr>
                  <w:rFonts w:ascii="Century Gothic" w:hAnsi="Century Gothic"/>
                  <w:sz w:val="21"/>
                  <w:szCs w:val="21"/>
                </w:rPr>
                <w:t xml:space="preserve">Here to </w:t>
              </w:r>
              <w:proofErr w:type="gramStart"/>
              <w:r w:rsidRPr="00296434">
                <w:rPr>
                  <w:rFonts w:ascii="Century Gothic" w:hAnsi="Century Gothic"/>
                  <w:sz w:val="21"/>
                  <w:szCs w:val="21"/>
                </w:rPr>
                <w:t>stay :</w:t>
              </w:r>
              <w:proofErr w:type="gramEnd"/>
              <w:r w:rsidRPr="00296434">
                <w:rPr>
                  <w:rFonts w:ascii="Century Gothic" w:hAnsi="Century Gothic"/>
                  <w:sz w:val="21"/>
                  <w:szCs w:val="21"/>
                </w:rPr>
                <w:t xml:space="preserve"> Reshaping the regions through </w:t>
              </w:r>
              <w:proofErr w:type="spellStart"/>
              <w:r w:rsidRPr="00296434">
                <w:rPr>
                  <w:rFonts w:ascii="Century Gothic" w:hAnsi="Century Gothic"/>
                  <w:sz w:val="21"/>
                  <w:szCs w:val="21"/>
                </w:rPr>
                <w:t>mana</w:t>
              </w:r>
              <w:proofErr w:type="spellEnd"/>
              <w:r w:rsidRPr="00296434">
                <w:rPr>
                  <w:rFonts w:ascii="Century Gothic" w:hAnsi="Century Gothic"/>
                  <w:sz w:val="21"/>
                  <w:szCs w:val="21"/>
                </w:rPr>
                <w:t xml:space="preserve"> Māori. In P. </w:t>
              </w:r>
              <w:proofErr w:type="spellStart"/>
              <w:r w:rsidRPr="00296434">
                <w:rPr>
                  <w:rFonts w:ascii="Century Gothic" w:hAnsi="Century Gothic"/>
                  <w:sz w:val="21"/>
                  <w:szCs w:val="21"/>
                </w:rPr>
                <w:t>Spoonley</w:t>
              </w:r>
              <w:proofErr w:type="spellEnd"/>
              <w:r w:rsidRPr="00296434">
                <w:rPr>
                  <w:rFonts w:ascii="Century Gothic" w:hAnsi="Century Gothic"/>
                  <w:sz w:val="21"/>
                  <w:szCs w:val="21"/>
                </w:rPr>
                <w:t xml:space="preserve"> (ed.), </w:t>
              </w:r>
              <w:proofErr w:type="gramStart"/>
              <w:r w:rsidRPr="00296434">
                <w:rPr>
                  <w:rFonts w:ascii="Century Gothic" w:hAnsi="Century Gothic"/>
                  <w:i/>
                  <w:iCs/>
                  <w:sz w:val="21"/>
                  <w:szCs w:val="21"/>
                </w:rPr>
                <w:t>Rebooting</w:t>
              </w:r>
              <w:proofErr w:type="gramEnd"/>
              <w:r w:rsidRPr="00296434">
                <w:rPr>
                  <w:rFonts w:ascii="Century Gothic" w:hAnsi="Century Gothic"/>
                  <w:i/>
                  <w:iCs/>
                  <w:sz w:val="21"/>
                  <w:szCs w:val="21"/>
                </w:rPr>
                <w:t xml:space="preserve"> the regions</w:t>
              </w:r>
              <w:r w:rsidRPr="00296434">
                <w:rPr>
                  <w:rFonts w:ascii="Century Gothic" w:hAnsi="Century Gothic"/>
                  <w:sz w:val="21"/>
                  <w:szCs w:val="21"/>
                </w:rPr>
                <w:t xml:space="preserve"> (pp. 79-106). </w:t>
              </w:r>
              <w:proofErr w:type="spellStart"/>
              <w:r w:rsidRPr="00296434">
                <w:rPr>
                  <w:rFonts w:ascii="Century Gothic" w:hAnsi="Century Gothic"/>
                  <w:sz w:val="21"/>
                  <w:szCs w:val="21"/>
                </w:rPr>
                <w:t>Palmerston</w:t>
              </w:r>
              <w:proofErr w:type="spellEnd"/>
              <w:r w:rsidRPr="00296434">
                <w:rPr>
                  <w:rFonts w:ascii="Century Gothic" w:hAnsi="Century Gothic"/>
                  <w:sz w:val="21"/>
                  <w:szCs w:val="21"/>
                </w:rPr>
                <w:t xml:space="preserve"> North: Massey University Press.</w:t>
              </w:r>
            </w:p>
            <w:p w14:paraId="0623FF2F" w14:textId="08E24F0D" w:rsidR="00942710" w:rsidRPr="00296434" w:rsidRDefault="00942710" w:rsidP="00296434">
              <w:pPr>
                <w:spacing w:line="360" w:lineRule="auto"/>
                <w:rPr>
                  <w:rFonts w:ascii="Century Gothic" w:hAnsi="Century Gothic"/>
                  <w:sz w:val="21"/>
                  <w:szCs w:val="21"/>
                </w:rPr>
              </w:pPr>
              <w:r w:rsidRPr="00296434">
                <w:rPr>
                  <w:rFonts w:ascii="Century Gothic" w:hAnsi="Century Gothic"/>
                  <w:sz w:val="21"/>
                  <w:szCs w:val="21"/>
                </w:rPr>
                <w:t xml:space="preserve">Statistics New Zealand (2014). 2013 census </w:t>
              </w:r>
              <w:proofErr w:type="spellStart"/>
              <w:r w:rsidRPr="00296434">
                <w:rPr>
                  <w:rFonts w:ascii="Century Gothic" w:hAnsi="Century Gothic"/>
                  <w:sz w:val="21"/>
                  <w:szCs w:val="21"/>
                </w:rPr>
                <w:t>quickstats</w:t>
              </w:r>
              <w:proofErr w:type="spellEnd"/>
              <w:r w:rsidRPr="00296434">
                <w:rPr>
                  <w:rFonts w:ascii="Century Gothic" w:hAnsi="Century Gothic"/>
                  <w:sz w:val="21"/>
                  <w:szCs w:val="21"/>
                </w:rPr>
                <w:t xml:space="preserve"> about families and households. Wellington: Statistics New Zealand.</w:t>
              </w:r>
            </w:p>
            <w:p w14:paraId="08BBB11D" w14:textId="78C2849F" w:rsidR="00744830" w:rsidRPr="00296434" w:rsidRDefault="00842426" w:rsidP="00296434">
              <w:pPr>
                <w:spacing w:line="360" w:lineRule="auto"/>
                <w:rPr>
                  <w:rFonts w:ascii="Century Gothic" w:hAnsi="Century Gothic"/>
                  <w:sz w:val="21"/>
                  <w:szCs w:val="21"/>
                </w:rPr>
              </w:pPr>
              <w:r w:rsidRPr="00296434">
                <w:rPr>
                  <w:rFonts w:ascii="Century Gothic" w:hAnsi="Century Gothic"/>
                  <w:sz w:val="21"/>
                  <w:szCs w:val="21"/>
                </w:rPr>
                <w:t xml:space="preserve">Walling, J., Small-Rodriguez, D., &amp; </w:t>
              </w:r>
              <w:proofErr w:type="spellStart"/>
              <w:r w:rsidRPr="00296434">
                <w:rPr>
                  <w:rFonts w:ascii="Century Gothic" w:hAnsi="Century Gothic"/>
                  <w:sz w:val="21"/>
                  <w:szCs w:val="21"/>
                </w:rPr>
                <w:t>Kukutai</w:t>
              </w:r>
              <w:proofErr w:type="spellEnd"/>
              <w:r w:rsidRPr="00296434">
                <w:rPr>
                  <w:rFonts w:ascii="Century Gothic" w:hAnsi="Century Gothic"/>
                  <w:sz w:val="21"/>
                  <w:szCs w:val="21"/>
                </w:rPr>
                <w:t xml:space="preserve">, T. </w:t>
              </w:r>
              <w:r w:rsidR="00887E3C" w:rsidRPr="00296434">
                <w:rPr>
                  <w:rFonts w:ascii="Century Gothic" w:hAnsi="Century Gothic"/>
                  <w:sz w:val="21"/>
                  <w:szCs w:val="21"/>
                </w:rPr>
                <w:t>(2009</w:t>
              </w:r>
              <w:r w:rsidRPr="00296434">
                <w:rPr>
                  <w:rFonts w:ascii="Century Gothic" w:hAnsi="Century Gothic"/>
                  <w:sz w:val="21"/>
                  <w:szCs w:val="21"/>
                </w:rPr>
                <w:t xml:space="preserve">). </w:t>
              </w:r>
              <w:r w:rsidR="00887E3C" w:rsidRPr="00296434">
                <w:rPr>
                  <w:rFonts w:ascii="Century Gothic" w:hAnsi="Century Gothic"/>
                  <w:sz w:val="21"/>
                  <w:szCs w:val="21"/>
                </w:rPr>
                <w:t>Tallying tribes: Waikat</w:t>
              </w:r>
              <w:r w:rsidR="00112C29" w:rsidRPr="00296434">
                <w:rPr>
                  <w:rFonts w:ascii="Century Gothic" w:hAnsi="Century Gothic"/>
                  <w:sz w:val="21"/>
                  <w:szCs w:val="21"/>
                </w:rPr>
                <w:t>o</w:t>
              </w:r>
              <w:r w:rsidR="00887E3C" w:rsidRPr="00296434">
                <w:rPr>
                  <w:rFonts w:ascii="Century Gothic" w:hAnsi="Century Gothic"/>
                  <w:sz w:val="21"/>
                  <w:szCs w:val="21"/>
                </w:rPr>
                <w:t xml:space="preserve">-Tainui in the census and iwi register. </w:t>
              </w:r>
              <w:r w:rsidR="00887E3C" w:rsidRPr="00296434">
                <w:rPr>
                  <w:rFonts w:ascii="Century Gothic" w:hAnsi="Century Gothic"/>
                  <w:i/>
                  <w:iCs/>
                  <w:sz w:val="21"/>
                  <w:szCs w:val="21"/>
                </w:rPr>
                <w:t>Social Policy Journal of New Zealand, 36</w:t>
              </w:r>
              <w:r w:rsidR="00112C29" w:rsidRPr="00296434">
                <w:rPr>
                  <w:rFonts w:ascii="Century Gothic" w:hAnsi="Century Gothic"/>
                  <w:sz w:val="21"/>
                  <w:szCs w:val="21"/>
                </w:rPr>
                <w:t>,</w:t>
              </w:r>
              <w:r w:rsidR="00887E3C" w:rsidRPr="00296434">
                <w:rPr>
                  <w:rFonts w:ascii="Century Gothic" w:hAnsi="Century Gothic"/>
                  <w:sz w:val="21"/>
                  <w:szCs w:val="21"/>
                </w:rPr>
                <w:t xml:space="preserve"> 2-15</w:t>
              </w:r>
              <w:r w:rsidRPr="00296434">
                <w:rPr>
                  <w:rFonts w:ascii="Century Gothic" w:hAnsi="Century Gothic"/>
                  <w:sz w:val="21"/>
                  <w:szCs w:val="21"/>
                </w:rPr>
                <w:t>.</w:t>
              </w:r>
            </w:p>
          </w:sdtContent>
        </w:sdt>
      </w:sdtContent>
    </w:sdt>
    <w:p w14:paraId="28735DB4" w14:textId="45C0607E" w:rsidR="00105D8C" w:rsidRPr="00296434" w:rsidRDefault="00105D8C" w:rsidP="00296434">
      <w:pPr>
        <w:spacing w:line="360" w:lineRule="auto"/>
        <w:rPr>
          <w:rFonts w:ascii="Century Gothic" w:hAnsi="Century Gothic"/>
          <w:sz w:val="21"/>
          <w:szCs w:val="21"/>
        </w:rPr>
      </w:pPr>
    </w:p>
    <w:p w14:paraId="0042A881" w14:textId="3168EB1E" w:rsidR="003706A6" w:rsidRPr="00296434" w:rsidRDefault="003706A6" w:rsidP="00296434">
      <w:pPr>
        <w:spacing w:line="360" w:lineRule="auto"/>
        <w:rPr>
          <w:rFonts w:ascii="Century Gothic" w:hAnsi="Century Gothic"/>
        </w:rPr>
      </w:pPr>
    </w:p>
    <w:p w14:paraId="3AEB7E46" w14:textId="77777777" w:rsidR="007F1242" w:rsidRPr="00711801" w:rsidRDefault="00A40D37" w:rsidP="00191029">
      <w:pPr>
        <w:pStyle w:val="Heading1"/>
        <w:rPr>
          <w:rFonts w:ascii="Century Gothic" w:hAnsi="Century Gothic"/>
          <w:b/>
          <w:bCs/>
          <w:color w:val="3DA5BD"/>
        </w:rPr>
      </w:pPr>
      <w:bookmarkStart w:id="59" w:name="_Toc491783055"/>
      <w:r w:rsidRPr="00711801">
        <w:rPr>
          <w:rFonts w:ascii="Century Gothic" w:hAnsi="Century Gothic"/>
          <w:b/>
          <w:bCs/>
          <w:color w:val="3DA5BD"/>
        </w:rPr>
        <w:lastRenderedPageBreak/>
        <w:t>Appendix</w:t>
      </w:r>
      <w:bookmarkEnd w:id="59"/>
    </w:p>
    <w:p w14:paraId="7758267B" w14:textId="77777777" w:rsidR="007F1242" w:rsidRPr="00711801" w:rsidRDefault="007F1242" w:rsidP="004348D7">
      <w:pPr>
        <w:pStyle w:val="NoSpacing"/>
        <w:rPr>
          <w:lang w:val="en-NZ"/>
        </w:rPr>
      </w:pPr>
    </w:p>
    <w:p w14:paraId="0BC941D6" w14:textId="77777777" w:rsidR="0015719F" w:rsidRPr="00711801" w:rsidRDefault="0015719F" w:rsidP="00414CC0">
      <w:pPr>
        <w:pStyle w:val="Caption"/>
        <w:spacing w:after="0"/>
        <w:rPr>
          <w:rFonts w:ascii="Century Gothic" w:hAnsi="Century Gothic"/>
          <w:b/>
          <w:bCs/>
          <w:i w:val="0"/>
          <w:iCs w:val="0"/>
        </w:rPr>
      </w:pPr>
      <w:bookmarkStart w:id="60" w:name="_Toc439945396"/>
      <w:bookmarkStart w:id="61" w:name="_Ref445893890"/>
      <w:bookmarkStart w:id="62" w:name="_Toc447188491"/>
    </w:p>
    <w:p w14:paraId="42EF59AD" w14:textId="3AC374F9" w:rsidR="0015719F" w:rsidRPr="00711801" w:rsidRDefault="003706A6" w:rsidP="002B2A85">
      <w:pPr>
        <w:pStyle w:val="Caption"/>
        <w:spacing w:after="0"/>
        <w:rPr>
          <w:rFonts w:ascii="Century Gothic" w:hAnsi="Century Gothic"/>
          <w:b/>
          <w:bCs/>
          <w:i w:val="0"/>
          <w:iCs w:val="0"/>
          <w:sz w:val="21"/>
          <w:szCs w:val="21"/>
        </w:rPr>
      </w:pPr>
      <w:bookmarkStart w:id="63" w:name="_Ref471997750"/>
      <w:bookmarkStart w:id="64" w:name="_Toc487119621"/>
      <w:r w:rsidRPr="003706A6">
        <w:rPr>
          <w:noProof/>
        </w:rPr>
        <w:drawing>
          <wp:anchor distT="0" distB="0" distL="114300" distR="114300" simplePos="0" relativeHeight="252377088" behindDoc="1" locked="0" layoutInCell="1" allowOverlap="1" wp14:anchorId="762C4157" wp14:editId="6A2A165F">
            <wp:simplePos x="0" y="0"/>
            <wp:positionH relativeFrom="column">
              <wp:posOffset>-60435</wp:posOffset>
            </wp:positionH>
            <wp:positionV relativeFrom="paragraph">
              <wp:posOffset>234150</wp:posOffset>
            </wp:positionV>
            <wp:extent cx="6299835" cy="1499870"/>
            <wp:effectExtent l="0" t="0" r="5715" b="5080"/>
            <wp:wrapTight wrapText="bothSides">
              <wp:wrapPolygon edited="0">
                <wp:start x="0" y="0"/>
                <wp:lineTo x="0" y="21399"/>
                <wp:lineTo x="21554" y="21399"/>
                <wp:lineTo x="21554"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extLst>
                        <a:ext uri="{28A0092B-C50C-407E-A947-70E740481C1C}">
                          <a14:useLocalDpi xmlns:a14="http://schemas.microsoft.com/office/drawing/2010/main" val="0"/>
                        </a:ext>
                      </a:extLst>
                    </a:blip>
                    <a:stretch>
                      <a:fillRect/>
                    </a:stretch>
                  </pic:blipFill>
                  <pic:spPr>
                    <a:xfrm>
                      <a:off x="0" y="0"/>
                      <a:ext cx="6299835" cy="1499870"/>
                    </a:xfrm>
                    <a:prstGeom prst="rect">
                      <a:avLst/>
                    </a:prstGeom>
                  </pic:spPr>
                </pic:pic>
              </a:graphicData>
            </a:graphic>
            <wp14:sizeRelH relativeFrom="page">
              <wp14:pctWidth>0</wp14:pctWidth>
            </wp14:sizeRelH>
            <wp14:sizeRelV relativeFrom="page">
              <wp14:pctHeight>0</wp14:pctHeight>
            </wp14:sizeRelV>
          </wp:anchor>
        </w:drawing>
      </w:r>
      <w:r w:rsidR="0015719F" w:rsidRPr="00711801">
        <w:rPr>
          <w:rFonts w:ascii="Century Gothic" w:hAnsi="Century Gothic"/>
          <w:b/>
          <w:bCs/>
          <w:i w:val="0"/>
          <w:iCs w:val="0"/>
          <w:sz w:val="21"/>
          <w:szCs w:val="21"/>
        </w:rPr>
        <w:t xml:space="preserve">Appendix Table </w:t>
      </w:r>
      <w:r w:rsidR="0015719F" w:rsidRPr="003706A6">
        <w:rPr>
          <w:rFonts w:ascii="Century Gothic" w:hAnsi="Century Gothic"/>
          <w:b/>
          <w:bCs/>
          <w:i w:val="0"/>
          <w:iCs w:val="0"/>
          <w:sz w:val="21"/>
          <w:szCs w:val="21"/>
        </w:rPr>
        <w:fldChar w:fldCharType="begin"/>
      </w:r>
      <w:r w:rsidR="0015719F" w:rsidRPr="00711801">
        <w:rPr>
          <w:rFonts w:ascii="Century Gothic" w:hAnsi="Century Gothic"/>
          <w:b/>
          <w:bCs/>
          <w:i w:val="0"/>
          <w:iCs w:val="0"/>
          <w:sz w:val="21"/>
          <w:szCs w:val="21"/>
        </w:rPr>
        <w:instrText xml:space="preserve"> SEQ Appendix_Table \* ARABIC </w:instrText>
      </w:r>
      <w:r w:rsidR="0015719F" w:rsidRPr="003706A6">
        <w:rPr>
          <w:rFonts w:ascii="Century Gothic" w:hAnsi="Century Gothic"/>
          <w:b/>
          <w:bCs/>
          <w:i w:val="0"/>
          <w:iCs w:val="0"/>
          <w:sz w:val="21"/>
          <w:szCs w:val="21"/>
        </w:rPr>
        <w:fldChar w:fldCharType="separate"/>
      </w:r>
      <w:r w:rsidR="001470A9" w:rsidRPr="00711801">
        <w:rPr>
          <w:rFonts w:ascii="Century Gothic" w:hAnsi="Century Gothic"/>
          <w:b/>
          <w:bCs/>
          <w:i w:val="0"/>
          <w:iCs w:val="0"/>
          <w:noProof/>
          <w:sz w:val="21"/>
          <w:szCs w:val="21"/>
        </w:rPr>
        <w:t>1</w:t>
      </w:r>
      <w:r w:rsidR="0015719F" w:rsidRPr="003706A6">
        <w:rPr>
          <w:rFonts w:ascii="Century Gothic" w:hAnsi="Century Gothic"/>
          <w:b/>
          <w:bCs/>
          <w:i w:val="0"/>
          <w:iCs w:val="0"/>
          <w:sz w:val="21"/>
          <w:szCs w:val="21"/>
        </w:rPr>
        <w:fldChar w:fldCharType="end"/>
      </w:r>
      <w:bookmarkEnd w:id="63"/>
      <w:r w:rsidR="0015719F" w:rsidRPr="00711801">
        <w:rPr>
          <w:rFonts w:ascii="Century Gothic" w:hAnsi="Century Gothic"/>
          <w:b/>
          <w:bCs/>
          <w:i w:val="0"/>
          <w:iCs w:val="0"/>
          <w:sz w:val="21"/>
          <w:szCs w:val="21"/>
        </w:rPr>
        <w:t>:</w:t>
      </w:r>
      <w:bookmarkEnd w:id="64"/>
      <w:r w:rsidR="0015719F" w:rsidRPr="00711801">
        <w:rPr>
          <w:rFonts w:ascii="Century Gothic" w:hAnsi="Century Gothic"/>
          <w:b/>
          <w:bCs/>
          <w:i w:val="0"/>
          <w:iCs w:val="0"/>
          <w:sz w:val="21"/>
          <w:szCs w:val="21"/>
        </w:rPr>
        <w:t xml:space="preserve"> </w:t>
      </w:r>
    </w:p>
    <w:p w14:paraId="73501EC2" w14:textId="53A3CADB" w:rsidR="0015719F" w:rsidRPr="00711801" w:rsidRDefault="0015719F" w:rsidP="00414CC0">
      <w:pPr>
        <w:pStyle w:val="Caption"/>
        <w:spacing w:after="0"/>
        <w:rPr>
          <w:rFonts w:ascii="Century Gothic" w:hAnsi="Century Gothic"/>
          <w:b/>
          <w:bCs/>
          <w:i w:val="0"/>
          <w:iCs w:val="0"/>
          <w:sz w:val="21"/>
          <w:szCs w:val="21"/>
          <w:highlight w:val="yellow"/>
        </w:rPr>
      </w:pPr>
    </w:p>
    <w:p w14:paraId="63B8DB4E" w14:textId="366AD03D" w:rsidR="0015719F" w:rsidRPr="00711801" w:rsidRDefault="0015719F" w:rsidP="00414CC0">
      <w:pPr>
        <w:pStyle w:val="Caption"/>
        <w:spacing w:after="0"/>
        <w:rPr>
          <w:rFonts w:ascii="Century Gothic" w:hAnsi="Century Gothic"/>
          <w:b/>
          <w:bCs/>
          <w:i w:val="0"/>
          <w:iCs w:val="0"/>
          <w:sz w:val="21"/>
          <w:szCs w:val="21"/>
          <w:highlight w:val="yellow"/>
        </w:rPr>
      </w:pPr>
    </w:p>
    <w:p w14:paraId="45AAFE39" w14:textId="77777777" w:rsidR="0015719F" w:rsidRPr="00711801" w:rsidRDefault="0015719F" w:rsidP="00414CC0">
      <w:pPr>
        <w:pStyle w:val="Caption"/>
        <w:spacing w:after="0"/>
        <w:rPr>
          <w:rFonts w:ascii="Century Gothic" w:hAnsi="Century Gothic"/>
          <w:b/>
          <w:bCs/>
          <w:i w:val="0"/>
          <w:iCs w:val="0"/>
        </w:rPr>
      </w:pPr>
    </w:p>
    <w:p w14:paraId="4BE7A168" w14:textId="77777777" w:rsidR="0015719F" w:rsidRPr="00711801" w:rsidRDefault="0015719F" w:rsidP="00414CC0">
      <w:pPr>
        <w:pStyle w:val="Caption"/>
        <w:spacing w:after="0"/>
        <w:rPr>
          <w:rFonts w:ascii="Century Gothic" w:hAnsi="Century Gothic"/>
          <w:b/>
          <w:bCs/>
          <w:i w:val="0"/>
          <w:iCs w:val="0"/>
        </w:rPr>
      </w:pPr>
    </w:p>
    <w:p w14:paraId="1027DE50" w14:textId="77777777" w:rsidR="0015719F" w:rsidRPr="00711801" w:rsidRDefault="0015719F" w:rsidP="00414CC0">
      <w:pPr>
        <w:pStyle w:val="Caption"/>
        <w:spacing w:after="0"/>
        <w:rPr>
          <w:rFonts w:ascii="Century Gothic" w:hAnsi="Century Gothic"/>
          <w:b/>
          <w:bCs/>
          <w:i w:val="0"/>
          <w:iCs w:val="0"/>
        </w:rPr>
      </w:pPr>
    </w:p>
    <w:p w14:paraId="64885A22" w14:textId="77777777" w:rsidR="0015719F" w:rsidRPr="00711801" w:rsidRDefault="0015719F" w:rsidP="00414CC0">
      <w:pPr>
        <w:pStyle w:val="Caption"/>
        <w:spacing w:after="0"/>
        <w:rPr>
          <w:rFonts w:ascii="Century Gothic" w:hAnsi="Century Gothic"/>
          <w:b/>
          <w:bCs/>
          <w:i w:val="0"/>
          <w:iCs w:val="0"/>
        </w:rPr>
      </w:pPr>
    </w:p>
    <w:p w14:paraId="2B11C8F8" w14:textId="442E8F2C" w:rsidR="003706A6" w:rsidRPr="00711801" w:rsidRDefault="003706A6" w:rsidP="003706A6">
      <w:pPr>
        <w:pStyle w:val="Caption"/>
        <w:spacing w:after="0"/>
        <w:rPr>
          <w:rFonts w:ascii="Century Gothic" w:hAnsi="Century Gothic"/>
          <w:b/>
          <w:bCs/>
          <w:i w:val="0"/>
          <w:iCs w:val="0"/>
          <w:sz w:val="21"/>
          <w:szCs w:val="21"/>
        </w:rPr>
      </w:pPr>
      <w:r w:rsidRPr="003706A6">
        <w:rPr>
          <w:noProof/>
        </w:rPr>
        <w:drawing>
          <wp:anchor distT="0" distB="0" distL="114300" distR="114300" simplePos="0" relativeHeight="252378112" behindDoc="1" locked="0" layoutInCell="1" allowOverlap="1" wp14:anchorId="79A868A2" wp14:editId="03590B14">
            <wp:simplePos x="0" y="0"/>
            <wp:positionH relativeFrom="column">
              <wp:posOffset>3175</wp:posOffset>
            </wp:positionH>
            <wp:positionV relativeFrom="paragraph">
              <wp:posOffset>246076</wp:posOffset>
            </wp:positionV>
            <wp:extent cx="6299835" cy="2147570"/>
            <wp:effectExtent l="0" t="0" r="5715" b="5080"/>
            <wp:wrapTight wrapText="bothSides">
              <wp:wrapPolygon edited="0">
                <wp:start x="0" y="0"/>
                <wp:lineTo x="0" y="21459"/>
                <wp:lineTo x="21554" y="21459"/>
                <wp:lineTo x="21554"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extLst>
                        <a:ext uri="{28A0092B-C50C-407E-A947-70E740481C1C}">
                          <a14:useLocalDpi xmlns:a14="http://schemas.microsoft.com/office/drawing/2010/main" val="0"/>
                        </a:ext>
                      </a:extLst>
                    </a:blip>
                    <a:stretch>
                      <a:fillRect/>
                    </a:stretch>
                  </pic:blipFill>
                  <pic:spPr>
                    <a:xfrm>
                      <a:off x="0" y="0"/>
                      <a:ext cx="6299835" cy="2147570"/>
                    </a:xfrm>
                    <a:prstGeom prst="rect">
                      <a:avLst/>
                    </a:prstGeom>
                  </pic:spPr>
                </pic:pic>
              </a:graphicData>
            </a:graphic>
            <wp14:sizeRelH relativeFrom="page">
              <wp14:pctWidth>0</wp14:pctWidth>
            </wp14:sizeRelH>
            <wp14:sizeRelV relativeFrom="page">
              <wp14:pctHeight>0</wp14:pctHeight>
            </wp14:sizeRelV>
          </wp:anchor>
        </w:drawing>
      </w:r>
      <w:r w:rsidRPr="00711801">
        <w:rPr>
          <w:rFonts w:ascii="Century Gothic" w:hAnsi="Century Gothic"/>
          <w:b/>
          <w:bCs/>
          <w:i w:val="0"/>
          <w:iCs w:val="0"/>
          <w:sz w:val="21"/>
          <w:szCs w:val="21"/>
        </w:rPr>
        <w:t xml:space="preserve">Appendix Table </w:t>
      </w:r>
      <w:r w:rsidRPr="003706A6">
        <w:rPr>
          <w:rFonts w:ascii="Century Gothic" w:hAnsi="Century Gothic"/>
          <w:b/>
          <w:bCs/>
          <w:i w:val="0"/>
          <w:iCs w:val="0"/>
          <w:sz w:val="21"/>
          <w:szCs w:val="21"/>
        </w:rPr>
        <w:fldChar w:fldCharType="begin"/>
      </w:r>
      <w:r w:rsidRPr="00711801">
        <w:rPr>
          <w:rFonts w:ascii="Century Gothic" w:hAnsi="Century Gothic"/>
          <w:b/>
          <w:bCs/>
          <w:i w:val="0"/>
          <w:iCs w:val="0"/>
          <w:sz w:val="21"/>
          <w:szCs w:val="21"/>
        </w:rPr>
        <w:instrText xml:space="preserve"> SEQ Appendix_Table \* ARABIC </w:instrText>
      </w:r>
      <w:r w:rsidRPr="003706A6">
        <w:rPr>
          <w:rFonts w:ascii="Century Gothic" w:hAnsi="Century Gothic"/>
          <w:b/>
          <w:bCs/>
          <w:i w:val="0"/>
          <w:iCs w:val="0"/>
          <w:sz w:val="21"/>
          <w:szCs w:val="21"/>
        </w:rPr>
        <w:fldChar w:fldCharType="separate"/>
      </w:r>
      <w:r w:rsidRPr="00711801">
        <w:rPr>
          <w:rFonts w:ascii="Century Gothic" w:hAnsi="Century Gothic"/>
          <w:b/>
          <w:bCs/>
          <w:i w:val="0"/>
          <w:iCs w:val="0"/>
          <w:noProof/>
          <w:sz w:val="21"/>
          <w:szCs w:val="21"/>
        </w:rPr>
        <w:t>2</w:t>
      </w:r>
      <w:r w:rsidRPr="003706A6">
        <w:rPr>
          <w:rFonts w:ascii="Century Gothic" w:hAnsi="Century Gothic"/>
          <w:b/>
          <w:bCs/>
          <w:i w:val="0"/>
          <w:iCs w:val="0"/>
          <w:sz w:val="21"/>
          <w:szCs w:val="21"/>
        </w:rPr>
        <w:fldChar w:fldCharType="end"/>
      </w:r>
      <w:r w:rsidRPr="00711801">
        <w:rPr>
          <w:rFonts w:ascii="Century Gothic" w:hAnsi="Century Gothic"/>
          <w:b/>
          <w:bCs/>
          <w:i w:val="0"/>
          <w:iCs w:val="0"/>
          <w:sz w:val="21"/>
          <w:szCs w:val="21"/>
        </w:rPr>
        <w:t xml:space="preserve">: </w:t>
      </w:r>
    </w:p>
    <w:p w14:paraId="5DF6B798" w14:textId="4DE0771F" w:rsidR="0015719F" w:rsidRPr="00711801" w:rsidRDefault="0015719F" w:rsidP="00414CC0">
      <w:pPr>
        <w:pStyle w:val="Caption"/>
        <w:spacing w:after="0"/>
        <w:rPr>
          <w:rFonts w:ascii="Century Gothic" w:hAnsi="Century Gothic"/>
          <w:b/>
          <w:bCs/>
          <w:i w:val="0"/>
          <w:iCs w:val="0"/>
        </w:rPr>
      </w:pPr>
    </w:p>
    <w:p w14:paraId="558EF9B6" w14:textId="0B460613" w:rsidR="003706A6" w:rsidRDefault="003706A6" w:rsidP="00414CC0">
      <w:pPr>
        <w:pStyle w:val="Caption"/>
        <w:spacing w:after="0"/>
        <w:rPr>
          <w:rFonts w:ascii="Century Gothic" w:hAnsi="Century Gothic"/>
          <w:b/>
          <w:bCs/>
          <w:i w:val="0"/>
          <w:iCs w:val="0"/>
        </w:rPr>
      </w:pPr>
    </w:p>
    <w:p w14:paraId="72C88B0B" w14:textId="6B9E4C7A" w:rsidR="003706A6" w:rsidRPr="00711801" w:rsidRDefault="003706A6" w:rsidP="003706A6">
      <w:pPr>
        <w:pStyle w:val="Caption"/>
        <w:spacing w:after="0"/>
        <w:rPr>
          <w:rFonts w:ascii="Century Gothic" w:hAnsi="Century Gothic"/>
          <w:b/>
          <w:bCs/>
          <w:i w:val="0"/>
          <w:iCs w:val="0"/>
          <w:sz w:val="21"/>
          <w:szCs w:val="21"/>
        </w:rPr>
      </w:pPr>
      <w:r w:rsidRPr="00711801">
        <w:rPr>
          <w:rFonts w:ascii="Century Gothic" w:hAnsi="Century Gothic"/>
          <w:b/>
          <w:bCs/>
          <w:i w:val="0"/>
          <w:iCs w:val="0"/>
          <w:sz w:val="21"/>
          <w:szCs w:val="21"/>
        </w:rPr>
        <w:t xml:space="preserve">Appendix Table </w:t>
      </w:r>
      <w:r w:rsidRPr="003706A6">
        <w:rPr>
          <w:rFonts w:ascii="Century Gothic" w:hAnsi="Century Gothic"/>
          <w:b/>
          <w:bCs/>
          <w:i w:val="0"/>
          <w:iCs w:val="0"/>
          <w:sz w:val="21"/>
          <w:szCs w:val="21"/>
        </w:rPr>
        <w:fldChar w:fldCharType="begin"/>
      </w:r>
      <w:r w:rsidRPr="00711801">
        <w:rPr>
          <w:rFonts w:ascii="Century Gothic" w:hAnsi="Century Gothic"/>
          <w:b/>
          <w:bCs/>
          <w:i w:val="0"/>
          <w:iCs w:val="0"/>
          <w:sz w:val="21"/>
          <w:szCs w:val="21"/>
        </w:rPr>
        <w:instrText xml:space="preserve"> SEQ Appendix_Table \* ARABIC </w:instrText>
      </w:r>
      <w:r w:rsidRPr="003706A6">
        <w:rPr>
          <w:rFonts w:ascii="Century Gothic" w:hAnsi="Century Gothic"/>
          <w:b/>
          <w:bCs/>
          <w:i w:val="0"/>
          <w:iCs w:val="0"/>
          <w:sz w:val="21"/>
          <w:szCs w:val="21"/>
        </w:rPr>
        <w:fldChar w:fldCharType="separate"/>
      </w:r>
      <w:r w:rsidRPr="00711801">
        <w:rPr>
          <w:rFonts w:ascii="Century Gothic" w:hAnsi="Century Gothic"/>
          <w:b/>
          <w:bCs/>
          <w:i w:val="0"/>
          <w:iCs w:val="0"/>
          <w:noProof/>
          <w:sz w:val="21"/>
          <w:szCs w:val="21"/>
        </w:rPr>
        <w:t>3</w:t>
      </w:r>
      <w:r w:rsidRPr="003706A6">
        <w:rPr>
          <w:rFonts w:ascii="Century Gothic" w:hAnsi="Century Gothic"/>
          <w:b/>
          <w:bCs/>
          <w:i w:val="0"/>
          <w:iCs w:val="0"/>
          <w:sz w:val="21"/>
          <w:szCs w:val="21"/>
        </w:rPr>
        <w:fldChar w:fldCharType="end"/>
      </w:r>
      <w:r w:rsidRPr="00711801">
        <w:rPr>
          <w:rFonts w:ascii="Century Gothic" w:hAnsi="Century Gothic"/>
          <w:b/>
          <w:bCs/>
          <w:i w:val="0"/>
          <w:iCs w:val="0"/>
          <w:sz w:val="21"/>
          <w:szCs w:val="21"/>
        </w:rPr>
        <w:t xml:space="preserve">: </w:t>
      </w:r>
    </w:p>
    <w:p w14:paraId="5CEE3BFA" w14:textId="2FCF70FE" w:rsidR="0015719F" w:rsidRPr="00842426" w:rsidRDefault="0015719F" w:rsidP="00414CC0">
      <w:pPr>
        <w:pStyle w:val="Caption"/>
        <w:spacing w:after="0"/>
        <w:rPr>
          <w:rFonts w:ascii="Century Gothic" w:hAnsi="Century Gothic"/>
          <w:b/>
          <w:bCs/>
          <w:i w:val="0"/>
          <w:iCs w:val="0"/>
        </w:rPr>
      </w:pPr>
    </w:p>
    <w:p w14:paraId="3A7FC607" w14:textId="77777777" w:rsidR="0015719F" w:rsidRPr="00842426" w:rsidRDefault="0015719F" w:rsidP="00414CC0">
      <w:pPr>
        <w:pStyle w:val="Caption"/>
        <w:spacing w:after="0"/>
        <w:rPr>
          <w:rFonts w:ascii="Century Gothic" w:hAnsi="Century Gothic"/>
          <w:b/>
          <w:bCs/>
          <w:i w:val="0"/>
          <w:iCs w:val="0"/>
        </w:rPr>
      </w:pPr>
    </w:p>
    <w:p w14:paraId="52DCDD13" w14:textId="60582D88" w:rsidR="0015719F" w:rsidRPr="00842426" w:rsidRDefault="003706A6" w:rsidP="00414CC0">
      <w:pPr>
        <w:pStyle w:val="Caption"/>
        <w:spacing w:after="0"/>
        <w:rPr>
          <w:rFonts w:ascii="Century Gothic" w:hAnsi="Century Gothic"/>
          <w:b/>
          <w:bCs/>
          <w:i w:val="0"/>
          <w:iCs w:val="0"/>
        </w:rPr>
      </w:pPr>
      <w:r w:rsidRPr="003706A6">
        <w:rPr>
          <w:noProof/>
        </w:rPr>
        <w:drawing>
          <wp:anchor distT="0" distB="0" distL="114300" distR="114300" simplePos="0" relativeHeight="252379136" behindDoc="1" locked="0" layoutInCell="1" allowOverlap="1" wp14:anchorId="07549E79" wp14:editId="24BD063B">
            <wp:simplePos x="0" y="0"/>
            <wp:positionH relativeFrom="column">
              <wp:posOffset>3479</wp:posOffset>
            </wp:positionH>
            <wp:positionV relativeFrom="paragraph">
              <wp:posOffset>-2540</wp:posOffset>
            </wp:positionV>
            <wp:extent cx="6300000" cy="2138400"/>
            <wp:effectExtent l="0" t="0" r="5715" b="0"/>
            <wp:wrapTight wrapText="bothSides">
              <wp:wrapPolygon edited="0">
                <wp:start x="0" y="0"/>
                <wp:lineTo x="0" y="21363"/>
                <wp:lineTo x="21554" y="21363"/>
                <wp:lineTo x="21554"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extLst>
                        <a:ext uri="{28A0092B-C50C-407E-A947-70E740481C1C}">
                          <a14:useLocalDpi xmlns:a14="http://schemas.microsoft.com/office/drawing/2010/main" val="0"/>
                        </a:ext>
                      </a:extLst>
                    </a:blip>
                    <a:stretch>
                      <a:fillRect/>
                    </a:stretch>
                  </pic:blipFill>
                  <pic:spPr>
                    <a:xfrm>
                      <a:off x="0" y="0"/>
                      <a:ext cx="6300000" cy="2138400"/>
                    </a:xfrm>
                    <a:prstGeom prst="rect">
                      <a:avLst/>
                    </a:prstGeom>
                  </pic:spPr>
                </pic:pic>
              </a:graphicData>
            </a:graphic>
            <wp14:sizeRelH relativeFrom="margin">
              <wp14:pctWidth>0</wp14:pctWidth>
            </wp14:sizeRelH>
            <wp14:sizeRelV relativeFrom="margin">
              <wp14:pctHeight>0</wp14:pctHeight>
            </wp14:sizeRelV>
          </wp:anchor>
        </w:drawing>
      </w:r>
    </w:p>
    <w:bookmarkEnd w:id="60"/>
    <w:bookmarkEnd w:id="61"/>
    <w:bookmarkEnd w:id="62"/>
    <w:p w14:paraId="4FF4844D" w14:textId="065CC1D5" w:rsidR="003B7D90" w:rsidRPr="0006087D" w:rsidRDefault="003B7D90" w:rsidP="002B2A85">
      <w:pPr>
        <w:pStyle w:val="Caption"/>
        <w:spacing w:after="120"/>
        <w:rPr>
          <w:rFonts w:ascii="Century Gothic" w:hAnsi="Century Gothic"/>
          <w:b/>
          <w:bCs/>
          <w:i w:val="0"/>
          <w:iCs w:val="0"/>
        </w:rPr>
      </w:pPr>
    </w:p>
    <w:p w14:paraId="3CAFBA06" w14:textId="77777777" w:rsidR="00E82292" w:rsidRPr="0006087D" w:rsidRDefault="00E82292" w:rsidP="00E82292">
      <w:pPr>
        <w:sectPr w:rsidR="00E82292" w:rsidRPr="0006087D" w:rsidSect="0058608C">
          <w:footerReference w:type="first" r:id="rId51"/>
          <w:pgSz w:w="11906" w:h="16838"/>
          <w:pgMar w:top="1134" w:right="851" w:bottom="1134" w:left="1134" w:header="709" w:footer="564" w:gutter="0"/>
          <w:pgNumType w:start="1"/>
          <w:cols w:space="708"/>
          <w:titlePg/>
          <w:docGrid w:linePitch="360"/>
        </w:sectPr>
      </w:pPr>
    </w:p>
    <w:p w14:paraId="63D83679" w14:textId="77777777" w:rsidR="0065189F" w:rsidRDefault="0065189F" w:rsidP="007928B6">
      <w:pPr>
        <w:spacing w:line="360" w:lineRule="auto"/>
        <w:rPr>
          <w:rFonts w:ascii="Century Gothic" w:hAnsi="Century Gothic"/>
          <w:sz w:val="21"/>
          <w:szCs w:val="21"/>
        </w:rPr>
      </w:pPr>
    </w:p>
    <w:p w14:paraId="78AEB96A" w14:textId="77777777" w:rsidR="0065189F" w:rsidRDefault="0065189F" w:rsidP="007928B6">
      <w:pPr>
        <w:spacing w:line="360" w:lineRule="auto"/>
        <w:rPr>
          <w:rFonts w:ascii="Century Gothic" w:hAnsi="Century Gothic"/>
          <w:sz w:val="21"/>
          <w:szCs w:val="21"/>
        </w:rPr>
      </w:pPr>
    </w:p>
    <w:p w14:paraId="620C0234" w14:textId="77777777" w:rsidR="0065189F" w:rsidRDefault="0065189F" w:rsidP="007928B6">
      <w:pPr>
        <w:spacing w:line="360" w:lineRule="auto"/>
        <w:rPr>
          <w:rFonts w:ascii="Century Gothic" w:hAnsi="Century Gothic"/>
          <w:sz w:val="21"/>
          <w:szCs w:val="21"/>
        </w:rPr>
      </w:pPr>
    </w:p>
    <w:p w14:paraId="01BD77E9" w14:textId="77777777" w:rsidR="0065189F" w:rsidRDefault="0065189F" w:rsidP="007928B6">
      <w:pPr>
        <w:spacing w:line="360" w:lineRule="auto"/>
        <w:rPr>
          <w:rFonts w:ascii="Century Gothic" w:hAnsi="Century Gothic"/>
          <w:sz w:val="21"/>
          <w:szCs w:val="21"/>
        </w:rPr>
      </w:pPr>
    </w:p>
    <w:p w14:paraId="5CADD227" w14:textId="77777777" w:rsidR="0065189F" w:rsidRDefault="0065189F" w:rsidP="007928B6">
      <w:pPr>
        <w:spacing w:line="360" w:lineRule="auto"/>
        <w:rPr>
          <w:rFonts w:ascii="Century Gothic" w:hAnsi="Century Gothic"/>
          <w:sz w:val="21"/>
          <w:szCs w:val="21"/>
        </w:rPr>
      </w:pPr>
    </w:p>
    <w:p w14:paraId="1363F7F7" w14:textId="77777777" w:rsidR="0065189F" w:rsidRDefault="0065189F" w:rsidP="007928B6">
      <w:pPr>
        <w:spacing w:line="360" w:lineRule="auto"/>
        <w:rPr>
          <w:rFonts w:ascii="Century Gothic" w:hAnsi="Century Gothic"/>
          <w:sz w:val="21"/>
          <w:szCs w:val="21"/>
        </w:rPr>
      </w:pPr>
    </w:p>
    <w:p w14:paraId="7D2C8862" w14:textId="77777777" w:rsidR="0065189F" w:rsidRDefault="0065189F" w:rsidP="007928B6">
      <w:pPr>
        <w:spacing w:line="360" w:lineRule="auto"/>
        <w:rPr>
          <w:rFonts w:ascii="Century Gothic" w:hAnsi="Century Gothic"/>
          <w:sz w:val="21"/>
          <w:szCs w:val="21"/>
        </w:rPr>
      </w:pPr>
    </w:p>
    <w:p w14:paraId="307906A6" w14:textId="77777777" w:rsidR="0065189F" w:rsidRDefault="0065189F" w:rsidP="007928B6">
      <w:pPr>
        <w:spacing w:line="360" w:lineRule="auto"/>
        <w:rPr>
          <w:rFonts w:ascii="Century Gothic" w:hAnsi="Century Gothic"/>
          <w:sz w:val="21"/>
          <w:szCs w:val="21"/>
        </w:rPr>
      </w:pPr>
    </w:p>
    <w:p w14:paraId="2E00C946" w14:textId="77777777" w:rsidR="0065189F" w:rsidRDefault="0065189F" w:rsidP="007928B6">
      <w:pPr>
        <w:spacing w:line="360" w:lineRule="auto"/>
        <w:rPr>
          <w:rFonts w:ascii="Century Gothic" w:hAnsi="Century Gothic"/>
          <w:sz w:val="21"/>
          <w:szCs w:val="21"/>
        </w:rPr>
      </w:pPr>
    </w:p>
    <w:p w14:paraId="6F365A65" w14:textId="77777777" w:rsidR="0065189F" w:rsidRDefault="0065189F" w:rsidP="007928B6">
      <w:pPr>
        <w:spacing w:line="360" w:lineRule="auto"/>
        <w:rPr>
          <w:rFonts w:ascii="Century Gothic" w:hAnsi="Century Gothic"/>
          <w:sz w:val="21"/>
          <w:szCs w:val="21"/>
        </w:rPr>
      </w:pPr>
    </w:p>
    <w:p w14:paraId="1336B7F9" w14:textId="77777777" w:rsidR="0065189F" w:rsidRDefault="0065189F" w:rsidP="007928B6">
      <w:pPr>
        <w:spacing w:line="360" w:lineRule="auto"/>
        <w:rPr>
          <w:rFonts w:ascii="Century Gothic" w:hAnsi="Century Gothic"/>
          <w:sz w:val="21"/>
          <w:szCs w:val="21"/>
        </w:rPr>
      </w:pPr>
    </w:p>
    <w:p w14:paraId="55DEE59A" w14:textId="6E50021E" w:rsidR="00AE5E74" w:rsidRPr="0006087D" w:rsidRDefault="00AE5E74" w:rsidP="007928B6">
      <w:pPr>
        <w:spacing w:line="360" w:lineRule="auto"/>
        <w:rPr>
          <w:rFonts w:ascii="Century Gothic" w:hAnsi="Century Gothic"/>
          <w:sz w:val="21"/>
          <w:szCs w:val="21"/>
        </w:rPr>
      </w:pPr>
      <w:r>
        <w:rPr>
          <w:rFonts w:ascii="Century Gothic" w:hAnsi="Century Gothic"/>
          <w:noProof/>
          <w:sz w:val="21"/>
          <w:szCs w:val="21"/>
        </w:rPr>
        <mc:AlternateContent>
          <mc:Choice Requires="wpg">
            <w:drawing>
              <wp:anchor distT="0" distB="0" distL="114300" distR="114300" simplePos="0" relativeHeight="252003328" behindDoc="1" locked="0" layoutInCell="1" allowOverlap="1" wp14:anchorId="1240DF10" wp14:editId="5DBA2E7F">
                <wp:simplePos x="0" y="0"/>
                <wp:positionH relativeFrom="column">
                  <wp:posOffset>203835</wp:posOffset>
                </wp:positionH>
                <wp:positionV relativeFrom="paragraph">
                  <wp:posOffset>78740</wp:posOffset>
                </wp:positionV>
                <wp:extent cx="6036945" cy="466725"/>
                <wp:effectExtent l="0" t="0" r="1905" b="9525"/>
                <wp:wrapNone/>
                <wp:docPr id="88" name="Group 88"/>
                <wp:cNvGraphicFramePr/>
                <a:graphic xmlns:a="http://schemas.openxmlformats.org/drawingml/2006/main">
                  <a:graphicData uri="http://schemas.microsoft.com/office/word/2010/wordprocessingGroup">
                    <wpg:wgp>
                      <wpg:cNvGrpSpPr/>
                      <wpg:grpSpPr>
                        <a:xfrm>
                          <a:off x="0" y="0"/>
                          <a:ext cx="6036945" cy="466725"/>
                          <a:chOff x="0" y="0"/>
                          <a:chExt cx="6036945" cy="466725"/>
                        </a:xfrm>
                      </wpg:grpSpPr>
                      <pic:pic xmlns:pic="http://schemas.openxmlformats.org/drawingml/2006/picture">
                        <pic:nvPicPr>
                          <pic:cNvPr id="472" name="Picture 472"/>
                          <pic:cNvPicPr>
                            <a:picLocks noChangeAspect="1"/>
                          </pic:cNvPicPr>
                        </pic:nvPicPr>
                        <pic:blipFill rotWithShape="1">
                          <a:blip r:embed="rId52" cstate="print">
                            <a:extLst>
                              <a:ext uri="{28A0092B-C50C-407E-A947-70E740481C1C}">
                                <a14:useLocalDpi xmlns:a14="http://schemas.microsoft.com/office/drawing/2010/main" val="0"/>
                              </a:ext>
                            </a:extLst>
                          </a:blip>
                          <a:srcRect r="85754" b="25551"/>
                          <a:stretch/>
                        </pic:blipFill>
                        <pic:spPr bwMode="auto">
                          <a:xfrm>
                            <a:off x="0" y="0"/>
                            <a:ext cx="388620" cy="4667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73" name="Picture 473"/>
                          <pic:cNvPicPr>
                            <a:picLocks noChangeAspect="1"/>
                          </pic:cNvPicPr>
                        </pic:nvPicPr>
                        <pic:blipFill rotWithShape="1">
                          <a:blip r:embed="rId52" cstate="print">
                            <a:extLst>
                              <a:ext uri="{28A0092B-C50C-407E-A947-70E740481C1C}">
                                <a14:useLocalDpi xmlns:a14="http://schemas.microsoft.com/office/drawing/2010/main" val="0"/>
                              </a:ext>
                            </a:extLst>
                          </a:blip>
                          <a:srcRect r="85754" b="25551"/>
                          <a:stretch/>
                        </pic:blipFill>
                        <pic:spPr bwMode="auto">
                          <a:xfrm>
                            <a:off x="457200" y="0"/>
                            <a:ext cx="388620" cy="4667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83" name="Picture 483"/>
                          <pic:cNvPicPr>
                            <a:picLocks noChangeAspect="1"/>
                          </pic:cNvPicPr>
                        </pic:nvPicPr>
                        <pic:blipFill rotWithShape="1">
                          <a:blip r:embed="rId52" cstate="print">
                            <a:extLst>
                              <a:ext uri="{28A0092B-C50C-407E-A947-70E740481C1C}">
                                <a14:useLocalDpi xmlns:a14="http://schemas.microsoft.com/office/drawing/2010/main" val="0"/>
                              </a:ext>
                            </a:extLst>
                          </a:blip>
                          <a:srcRect r="85754" b="25551"/>
                          <a:stretch/>
                        </pic:blipFill>
                        <pic:spPr bwMode="auto">
                          <a:xfrm>
                            <a:off x="933450" y="0"/>
                            <a:ext cx="388620" cy="4667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95" name="Picture 495"/>
                          <pic:cNvPicPr>
                            <a:picLocks noChangeAspect="1"/>
                          </pic:cNvPicPr>
                        </pic:nvPicPr>
                        <pic:blipFill rotWithShape="1">
                          <a:blip r:embed="rId52" cstate="print">
                            <a:extLst>
                              <a:ext uri="{28A0092B-C50C-407E-A947-70E740481C1C}">
                                <a14:useLocalDpi xmlns:a14="http://schemas.microsoft.com/office/drawing/2010/main" val="0"/>
                              </a:ext>
                            </a:extLst>
                          </a:blip>
                          <a:srcRect r="85754" b="25551"/>
                          <a:stretch/>
                        </pic:blipFill>
                        <pic:spPr bwMode="auto">
                          <a:xfrm>
                            <a:off x="1428750" y="0"/>
                            <a:ext cx="388620" cy="4667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97" name="Picture 497"/>
                          <pic:cNvPicPr>
                            <a:picLocks noChangeAspect="1"/>
                          </pic:cNvPicPr>
                        </pic:nvPicPr>
                        <pic:blipFill rotWithShape="1">
                          <a:blip r:embed="rId52" cstate="print">
                            <a:extLst>
                              <a:ext uri="{28A0092B-C50C-407E-A947-70E740481C1C}">
                                <a14:useLocalDpi xmlns:a14="http://schemas.microsoft.com/office/drawing/2010/main" val="0"/>
                              </a:ext>
                            </a:extLst>
                          </a:blip>
                          <a:srcRect r="85754" b="25551"/>
                          <a:stretch/>
                        </pic:blipFill>
                        <pic:spPr bwMode="auto">
                          <a:xfrm>
                            <a:off x="1885950" y="0"/>
                            <a:ext cx="388620" cy="4667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01" name="Picture 501"/>
                          <pic:cNvPicPr>
                            <a:picLocks noChangeAspect="1"/>
                          </pic:cNvPicPr>
                        </pic:nvPicPr>
                        <pic:blipFill rotWithShape="1">
                          <a:blip r:embed="rId52" cstate="print">
                            <a:extLst>
                              <a:ext uri="{28A0092B-C50C-407E-A947-70E740481C1C}">
                                <a14:useLocalDpi xmlns:a14="http://schemas.microsoft.com/office/drawing/2010/main" val="0"/>
                              </a:ext>
                            </a:extLst>
                          </a:blip>
                          <a:srcRect r="85754" b="25551"/>
                          <a:stretch/>
                        </pic:blipFill>
                        <pic:spPr bwMode="auto">
                          <a:xfrm>
                            <a:off x="2352675" y="0"/>
                            <a:ext cx="388620" cy="4667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07" name="Picture 507"/>
                          <pic:cNvPicPr>
                            <a:picLocks noChangeAspect="1"/>
                          </pic:cNvPicPr>
                        </pic:nvPicPr>
                        <pic:blipFill rotWithShape="1">
                          <a:blip r:embed="rId52" cstate="print">
                            <a:extLst>
                              <a:ext uri="{28A0092B-C50C-407E-A947-70E740481C1C}">
                                <a14:useLocalDpi xmlns:a14="http://schemas.microsoft.com/office/drawing/2010/main" val="0"/>
                              </a:ext>
                            </a:extLst>
                          </a:blip>
                          <a:srcRect r="85754" b="25551"/>
                          <a:stretch/>
                        </pic:blipFill>
                        <pic:spPr bwMode="auto">
                          <a:xfrm>
                            <a:off x="2857500" y="0"/>
                            <a:ext cx="388620" cy="4667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7" name="Picture 67"/>
                          <pic:cNvPicPr>
                            <a:picLocks noChangeAspect="1"/>
                          </pic:cNvPicPr>
                        </pic:nvPicPr>
                        <pic:blipFill rotWithShape="1">
                          <a:blip r:embed="rId52" cstate="print">
                            <a:extLst>
                              <a:ext uri="{28A0092B-C50C-407E-A947-70E740481C1C}">
                                <a14:useLocalDpi xmlns:a14="http://schemas.microsoft.com/office/drawing/2010/main" val="0"/>
                              </a:ext>
                            </a:extLst>
                          </a:blip>
                          <a:srcRect r="85754" b="25551"/>
                          <a:stretch/>
                        </pic:blipFill>
                        <pic:spPr bwMode="auto">
                          <a:xfrm>
                            <a:off x="3295650" y="0"/>
                            <a:ext cx="388620" cy="4667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7" name="Picture 77"/>
                          <pic:cNvPicPr>
                            <a:picLocks noChangeAspect="1"/>
                          </pic:cNvPicPr>
                        </pic:nvPicPr>
                        <pic:blipFill rotWithShape="1">
                          <a:blip r:embed="rId52" cstate="print">
                            <a:extLst>
                              <a:ext uri="{28A0092B-C50C-407E-A947-70E740481C1C}">
                                <a14:useLocalDpi xmlns:a14="http://schemas.microsoft.com/office/drawing/2010/main" val="0"/>
                              </a:ext>
                            </a:extLst>
                          </a:blip>
                          <a:srcRect r="85754" b="25551"/>
                          <a:stretch/>
                        </pic:blipFill>
                        <pic:spPr bwMode="auto">
                          <a:xfrm>
                            <a:off x="3752850" y="0"/>
                            <a:ext cx="388620" cy="4667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0" name="Picture 80"/>
                          <pic:cNvPicPr>
                            <a:picLocks noChangeAspect="1"/>
                          </pic:cNvPicPr>
                        </pic:nvPicPr>
                        <pic:blipFill rotWithShape="1">
                          <a:blip r:embed="rId52" cstate="print">
                            <a:extLst>
                              <a:ext uri="{28A0092B-C50C-407E-A947-70E740481C1C}">
                                <a14:useLocalDpi xmlns:a14="http://schemas.microsoft.com/office/drawing/2010/main" val="0"/>
                              </a:ext>
                            </a:extLst>
                          </a:blip>
                          <a:srcRect r="85754" b="25551"/>
                          <a:stretch/>
                        </pic:blipFill>
                        <pic:spPr bwMode="auto">
                          <a:xfrm>
                            <a:off x="4229100" y="0"/>
                            <a:ext cx="388620" cy="4667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1" name="Picture 81"/>
                          <pic:cNvPicPr>
                            <a:picLocks noChangeAspect="1"/>
                          </pic:cNvPicPr>
                        </pic:nvPicPr>
                        <pic:blipFill rotWithShape="1">
                          <a:blip r:embed="rId52" cstate="print">
                            <a:extLst>
                              <a:ext uri="{28A0092B-C50C-407E-A947-70E740481C1C}">
                                <a14:useLocalDpi xmlns:a14="http://schemas.microsoft.com/office/drawing/2010/main" val="0"/>
                              </a:ext>
                            </a:extLst>
                          </a:blip>
                          <a:srcRect r="85754" b="25551"/>
                          <a:stretch/>
                        </pic:blipFill>
                        <pic:spPr bwMode="auto">
                          <a:xfrm>
                            <a:off x="4724400" y="0"/>
                            <a:ext cx="388620" cy="4667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2" name="Picture 82"/>
                          <pic:cNvPicPr>
                            <a:picLocks noChangeAspect="1"/>
                          </pic:cNvPicPr>
                        </pic:nvPicPr>
                        <pic:blipFill rotWithShape="1">
                          <a:blip r:embed="rId52" cstate="print">
                            <a:extLst>
                              <a:ext uri="{28A0092B-C50C-407E-A947-70E740481C1C}">
                                <a14:useLocalDpi xmlns:a14="http://schemas.microsoft.com/office/drawing/2010/main" val="0"/>
                              </a:ext>
                            </a:extLst>
                          </a:blip>
                          <a:srcRect r="85754" b="25551"/>
                          <a:stretch/>
                        </pic:blipFill>
                        <pic:spPr bwMode="auto">
                          <a:xfrm>
                            <a:off x="5181600" y="0"/>
                            <a:ext cx="388620" cy="4667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6" name="Picture 86"/>
                          <pic:cNvPicPr>
                            <a:picLocks noChangeAspect="1"/>
                          </pic:cNvPicPr>
                        </pic:nvPicPr>
                        <pic:blipFill rotWithShape="1">
                          <a:blip r:embed="rId52" cstate="print">
                            <a:extLst>
                              <a:ext uri="{28A0092B-C50C-407E-A947-70E740481C1C}">
                                <a14:useLocalDpi xmlns:a14="http://schemas.microsoft.com/office/drawing/2010/main" val="0"/>
                              </a:ext>
                            </a:extLst>
                          </a:blip>
                          <a:srcRect r="85754" b="25551"/>
                          <a:stretch/>
                        </pic:blipFill>
                        <pic:spPr bwMode="auto">
                          <a:xfrm>
                            <a:off x="5648325" y="0"/>
                            <a:ext cx="388620" cy="466725"/>
                          </a:xfrm>
                          <a:prstGeom prst="rect">
                            <a:avLst/>
                          </a:prstGeom>
                          <a:ln>
                            <a:noFill/>
                          </a:ln>
                          <a:extLst>
                            <a:ext uri="{53640926-AAD7-44D8-BBD7-CCE9431645EC}">
                              <a14:shadowObscured xmlns:a14="http://schemas.microsoft.com/office/drawing/2010/main"/>
                            </a:ext>
                          </a:extLst>
                        </pic:spPr>
                      </pic:pic>
                    </wpg:wgp>
                  </a:graphicData>
                </a:graphic>
              </wp:anchor>
            </w:drawing>
          </mc:Choice>
          <mc:Fallback xmlns:w16se="http://schemas.microsoft.com/office/word/2015/wordml/symex" xmlns:cx1="http://schemas.microsoft.com/office/drawing/2015/9/8/chartex" xmlns:cx="http://schemas.microsoft.com/office/drawing/2014/chartex">
            <w:pict>
              <v:group w14:anchorId="6CBFF1F2" id="Group 88" o:spid="_x0000_s1026" style="position:absolute;margin-left:16.05pt;margin-top:6.2pt;width:475.35pt;height:36.75pt;z-index:-251313152" coordsize="60369,46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">
                <v:shape id="Picture 472" o:spid="_x0000_s1027" type="#_x0000_t75" style="position:absolute;width:3886;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">
                  <v:imagedata r:id="rId172" o:title="" cropbottom="16745f" cropright="56200f"/>
                  <v:path arrowok="t"/>
                </v:shape>
                <v:shape id="Picture 473" o:spid="_x0000_s1028" type="#_x0000_t75" style="position:absolute;left:4572;width:3886;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">
                  <v:imagedata r:id="rId172" o:title="" cropbottom="16745f" cropright="56200f"/>
                  <v:path arrowok="t"/>
                </v:shape>
                <v:shape id="Picture 483" o:spid="_x0000_s1029" type="#_x0000_t75" style="position:absolute;left:9334;width:3886;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">
                  <v:imagedata r:id="rId172" o:title="" cropbottom="16745f" cropright="56200f"/>
                  <v:path arrowok="t"/>
                </v:shape>
                <v:shape id="Picture 495" o:spid="_x0000_s1030" type="#_x0000_t75" style="position:absolute;left:14287;width:3886;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">
                  <v:imagedata r:id="rId172" o:title="" cropbottom="16745f" cropright="56200f"/>
                  <v:path arrowok="t"/>
                </v:shape>
                <v:shape id="Picture 497" o:spid="_x0000_s1031" type="#_x0000_t75" style="position:absolute;left:18859;width:3886;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">
                  <v:imagedata r:id="rId172" o:title="" cropbottom="16745f" cropright="56200f"/>
                  <v:path arrowok="t"/>
                </v:shape>
                <v:shape id="Picture 501" o:spid="_x0000_s1032" type="#_x0000_t75" style="position:absolute;left:23526;width:3886;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">
                  <v:imagedata r:id="rId172" o:title="" cropbottom="16745f" cropright="56200f"/>
                  <v:path arrowok="t"/>
                </v:shape>
                <v:shape id="Picture 507" o:spid="_x0000_s1033" type="#_x0000_t75" style="position:absolute;left:28575;width:3886;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">
                  <v:imagedata r:id="rId172" o:title="" cropbottom="16745f" cropright="56200f"/>
                  <v:path arrowok="t"/>
                </v:shape>
                <v:shape id="Picture 67" o:spid="_x0000_s1034" type="#_x0000_t75" style="position:absolute;left:32956;width:3886;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">
                  <v:imagedata r:id="rId172" o:title="" cropbottom="16745f" cropright="56200f"/>
                  <v:path arrowok="t"/>
                </v:shape>
                <v:shape id="Picture 77" o:spid="_x0000_s1035" type="#_x0000_t75" style="position:absolute;left:37528;width:3886;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">
                  <v:imagedata r:id="rId172" o:title="" cropbottom="16745f" cropright="56200f"/>
                  <v:path arrowok="t"/>
                </v:shape>
                <v:shape id="Picture 80" o:spid="_x0000_s1036" type="#_x0000_t75" style="position:absolute;left:42291;width:3886;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">
                  <v:imagedata r:id="rId172" o:title="" cropbottom="16745f" cropright="56200f"/>
                  <v:path arrowok="t"/>
                </v:shape>
                <v:shape id="Picture 81" o:spid="_x0000_s1037" type="#_x0000_t75" style="position:absolute;left:47244;width:3886;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">
                  <v:imagedata r:id="rId172" o:title="" cropbottom="16745f" cropright="56200f"/>
                  <v:path arrowok="t"/>
                </v:shape>
                <v:shape id="Picture 82" o:spid="_x0000_s1038" type="#_x0000_t75" style="position:absolute;left:51816;width:3886;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">
                  <v:imagedata r:id="rId172" o:title="" cropbottom="16745f" cropright="56200f"/>
                  <v:path arrowok="t"/>
                </v:shape>
                <v:shape id="Picture 86" o:spid="_x0000_s1039" type="#_x0000_t75" style="position:absolute;left:56483;width:3886;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">
                  <v:imagedata r:id="rId172" o:title="" cropbottom="16745f" cropright="56200f"/>
                  <v:path arrowok="t"/>
                </v:shape>
              </v:group>
            </w:pict>
          </mc:Fallback>
        </mc:AlternateContent>
      </w:r>
      <w:r w:rsidR="000F2512">
        <w:rPr>
          <w:rFonts w:ascii="Century Gothic" w:hAnsi="Century Gothic"/>
          <w:sz w:val="21"/>
          <w:szCs w:val="21"/>
        </w:rPr>
        <w:t xml:space="preserve"> </w:t>
      </w:r>
    </w:p>
    <w:p w14:paraId="631B2FF1" w14:textId="77777777" w:rsidR="00AE5E74" w:rsidRPr="0006087D" w:rsidRDefault="00AE5E74" w:rsidP="007928B6">
      <w:pPr>
        <w:spacing w:line="360" w:lineRule="auto"/>
        <w:rPr>
          <w:rFonts w:ascii="Century Gothic" w:hAnsi="Century Gothic"/>
          <w:sz w:val="21"/>
          <w:szCs w:val="21"/>
        </w:rPr>
      </w:pPr>
    </w:p>
    <w:p w14:paraId="250B1914" w14:textId="77777777" w:rsidR="00C815A6" w:rsidRPr="00DB1BC1" w:rsidRDefault="00C815A6" w:rsidP="00C815A6">
      <w:pPr>
        <w:pStyle w:val="NormalWeb"/>
        <w:spacing w:before="0" w:beforeAutospacing="0" w:after="0" w:afterAutospacing="0" w:line="360" w:lineRule="auto"/>
        <w:jc w:val="center"/>
        <w:rPr>
          <w:rFonts w:ascii="Century Gothic" w:hAnsi="Century Gothic" w:cs="Arial"/>
          <w:color w:val="44546A"/>
          <w:sz w:val="22"/>
          <w:szCs w:val="22"/>
        </w:rPr>
      </w:pPr>
      <w:proofErr w:type="spellStart"/>
      <w:r w:rsidRPr="00DB1BC1">
        <w:rPr>
          <w:rFonts w:ascii="Century Gothic" w:hAnsi="Century Gothic" w:cs="Calibri"/>
          <w:b/>
          <w:bCs/>
          <w:color w:val="44546A"/>
          <w:sz w:val="22"/>
          <w:szCs w:val="22"/>
        </w:rPr>
        <w:t>Te</w:t>
      </w:r>
      <w:proofErr w:type="spellEnd"/>
      <w:r w:rsidRPr="00DB1BC1">
        <w:rPr>
          <w:rFonts w:ascii="Century Gothic" w:hAnsi="Century Gothic" w:cs="Calibri"/>
          <w:b/>
          <w:bCs/>
          <w:color w:val="44546A"/>
          <w:sz w:val="22"/>
          <w:szCs w:val="22"/>
        </w:rPr>
        <w:t xml:space="preserve"> </w:t>
      </w:r>
      <w:proofErr w:type="spellStart"/>
      <w:r w:rsidRPr="00DB1BC1">
        <w:rPr>
          <w:rFonts w:ascii="Century Gothic" w:hAnsi="Century Gothic" w:cs="Calibri"/>
          <w:b/>
          <w:bCs/>
          <w:color w:val="44546A"/>
          <w:sz w:val="22"/>
          <w:szCs w:val="22"/>
        </w:rPr>
        <w:t>Rūnanga</w:t>
      </w:r>
      <w:proofErr w:type="spellEnd"/>
      <w:r w:rsidRPr="00DB1BC1">
        <w:rPr>
          <w:rFonts w:ascii="Century Gothic" w:hAnsi="Century Gothic" w:cs="Calibri"/>
          <w:b/>
          <w:bCs/>
          <w:color w:val="44546A"/>
          <w:sz w:val="22"/>
          <w:szCs w:val="22"/>
        </w:rPr>
        <w:t xml:space="preserve"> </w:t>
      </w:r>
      <w:proofErr w:type="spellStart"/>
      <w:r w:rsidRPr="00DB1BC1">
        <w:rPr>
          <w:rFonts w:ascii="Century Gothic" w:hAnsi="Century Gothic" w:cs="Calibri"/>
          <w:b/>
          <w:bCs/>
          <w:color w:val="44546A"/>
          <w:sz w:val="22"/>
          <w:szCs w:val="22"/>
        </w:rPr>
        <w:t>Tātari</w:t>
      </w:r>
      <w:proofErr w:type="spellEnd"/>
      <w:r w:rsidRPr="00DB1BC1">
        <w:rPr>
          <w:rFonts w:ascii="Century Gothic" w:hAnsi="Century Gothic" w:cs="Calibri"/>
          <w:b/>
          <w:bCs/>
          <w:color w:val="44546A"/>
          <w:sz w:val="22"/>
          <w:szCs w:val="22"/>
        </w:rPr>
        <w:t xml:space="preserve"> </w:t>
      </w:r>
      <w:proofErr w:type="spellStart"/>
      <w:r w:rsidRPr="00DB1BC1">
        <w:rPr>
          <w:rFonts w:ascii="Century Gothic" w:hAnsi="Century Gothic" w:cs="Calibri"/>
          <w:b/>
          <w:bCs/>
          <w:color w:val="44546A"/>
          <w:sz w:val="22"/>
          <w:szCs w:val="22"/>
        </w:rPr>
        <w:t>Tatauranga</w:t>
      </w:r>
      <w:proofErr w:type="spellEnd"/>
      <w:r w:rsidRPr="00DB1BC1">
        <w:rPr>
          <w:rFonts w:ascii="Century Gothic" w:hAnsi="Century Gothic" w:cs="Calibri"/>
          <w:color w:val="44546A"/>
          <w:sz w:val="22"/>
          <w:szCs w:val="22"/>
        </w:rPr>
        <w:t> </w:t>
      </w:r>
      <w:r w:rsidRPr="00DB1BC1">
        <w:rPr>
          <w:rFonts w:ascii="Century Gothic" w:hAnsi="Century Gothic" w:cs="Calibri"/>
          <w:b/>
          <w:bCs/>
          <w:color w:val="44546A"/>
          <w:sz w:val="22"/>
          <w:szCs w:val="22"/>
          <w:lang w:val="mi-NZ"/>
        </w:rPr>
        <w:t>|</w:t>
      </w:r>
      <w:r w:rsidRPr="00DB1BC1">
        <w:rPr>
          <w:rFonts w:ascii="Century Gothic" w:hAnsi="Century Gothic" w:cs="Calibri"/>
          <w:color w:val="44546A"/>
          <w:sz w:val="22"/>
          <w:szCs w:val="22"/>
          <w:lang w:val="mi-NZ"/>
        </w:rPr>
        <w:t> </w:t>
      </w:r>
      <w:r w:rsidRPr="00DB1BC1">
        <w:rPr>
          <w:rFonts w:ascii="Century Gothic" w:hAnsi="Century Gothic" w:cs="Calibri"/>
          <w:b/>
          <w:bCs/>
          <w:color w:val="44546A"/>
          <w:sz w:val="22"/>
          <w:szCs w:val="22"/>
          <w:lang w:val="mi-NZ"/>
        </w:rPr>
        <w:t>National Institute of Demographic and Economic Analysis</w:t>
      </w:r>
    </w:p>
    <w:p w14:paraId="35CDD6A7" w14:textId="77777777" w:rsidR="00C815A6" w:rsidRPr="00DB1BC1" w:rsidRDefault="00C815A6" w:rsidP="00C815A6">
      <w:pPr>
        <w:pStyle w:val="NormalWeb"/>
        <w:spacing w:before="0" w:beforeAutospacing="0" w:after="0" w:afterAutospacing="0" w:line="360" w:lineRule="auto"/>
        <w:jc w:val="center"/>
        <w:rPr>
          <w:rFonts w:ascii="Century Gothic" w:hAnsi="Century Gothic" w:cs="Arial"/>
          <w:color w:val="44546A"/>
          <w:sz w:val="22"/>
          <w:szCs w:val="22"/>
        </w:rPr>
      </w:pPr>
      <w:r w:rsidRPr="00DB1BC1">
        <w:rPr>
          <w:rFonts w:ascii="Century Gothic" w:hAnsi="Century Gothic" w:cs="Calibri"/>
          <w:color w:val="44546A"/>
          <w:sz w:val="22"/>
          <w:szCs w:val="22"/>
          <w:lang w:val="mi-NZ"/>
        </w:rPr>
        <w:t>Te Whare W</w:t>
      </w:r>
      <w:proofErr w:type="spellStart"/>
      <w:r w:rsidRPr="00DB1BC1">
        <w:rPr>
          <w:rFonts w:ascii="Century Gothic" w:hAnsi="Century Gothic" w:cs="Calibri"/>
          <w:color w:val="44546A"/>
          <w:sz w:val="22"/>
          <w:szCs w:val="22"/>
        </w:rPr>
        <w:t>ānanga</w:t>
      </w:r>
      <w:proofErr w:type="spellEnd"/>
      <w:r w:rsidRPr="00DB1BC1">
        <w:rPr>
          <w:rFonts w:ascii="Century Gothic" w:hAnsi="Century Gothic" w:cs="Calibri"/>
          <w:color w:val="44546A"/>
          <w:sz w:val="22"/>
          <w:szCs w:val="22"/>
        </w:rPr>
        <w:t xml:space="preserve"> o Waikato </w:t>
      </w:r>
      <w:r w:rsidRPr="00DB1BC1">
        <w:rPr>
          <w:rFonts w:ascii="Century Gothic" w:hAnsi="Century Gothic" w:cs="Calibri"/>
          <w:b/>
          <w:bCs/>
          <w:color w:val="44546A"/>
          <w:sz w:val="22"/>
          <w:szCs w:val="22"/>
          <w:lang w:val="mi-NZ"/>
        </w:rPr>
        <w:t xml:space="preserve">| </w:t>
      </w:r>
      <w:r w:rsidRPr="00DB1BC1">
        <w:rPr>
          <w:rFonts w:ascii="Century Gothic" w:hAnsi="Century Gothic" w:cs="Calibri"/>
          <w:color w:val="44546A"/>
          <w:sz w:val="22"/>
          <w:szCs w:val="22"/>
        </w:rPr>
        <w:t>The University of Waikato</w:t>
      </w:r>
    </w:p>
    <w:p w14:paraId="34B09BF6" w14:textId="77777777" w:rsidR="00C815A6" w:rsidRPr="00DB1BC1" w:rsidRDefault="00C815A6" w:rsidP="00C815A6">
      <w:pPr>
        <w:pStyle w:val="NormalWeb"/>
        <w:spacing w:before="0" w:beforeAutospacing="0" w:after="0" w:afterAutospacing="0" w:line="360" w:lineRule="auto"/>
        <w:jc w:val="center"/>
        <w:rPr>
          <w:rFonts w:ascii="Century Gothic" w:hAnsi="Century Gothic" w:cs="Arial"/>
          <w:color w:val="44546A"/>
          <w:sz w:val="22"/>
          <w:szCs w:val="22"/>
        </w:rPr>
      </w:pPr>
      <w:r w:rsidRPr="00DB1BC1">
        <w:rPr>
          <w:rFonts w:ascii="Century Gothic" w:hAnsi="Century Gothic" w:cs="Calibri"/>
          <w:color w:val="44546A"/>
          <w:sz w:val="22"/>
          <w:szCs w:val="22"/>
        </w:rPr>
        <w:t>Private Bag 3105 </w:t>
      </w:r>
      <w:r w:rsidRPr="00DB1BC1">
        <w:rPr>
          <w:rFonts w:ascii="Century Gothic" w:hAnsi="Century Gothic" w:cs="Calibri"/>
          <w:b/>
          <w:bCs/>
          <w:color w:val="44546A"/>
          <w:sz w:val="22"/>
          <w:szCs w:val="22"/>
          <w:lang w:val="mi-NZ"/>
        </w:rPr>
        <w:t xml:space="preserve">| </w:t>
      </w:r>
      <w:r w:rsidRPr="00DB1BC1">
        <w:rPr>
          <w:rFonts w:ascii="Century Gothic" w:hAnsi="Century Gothic" w:cs="Calibri"/>
          <w:color w:val="44546A"/>
          <w:sz w:val="22"/>
          <w:szCs w:val="22"/>
          <w:lang w:val="mi-NZ"/>
        </w:rPr>
        <w:t xml:space="preserve">Hamilton 3240 </w:t>
      </w:r>
      <w:r w:rsidRPr="00DB1BC1">
        <w:rPr>
          <w:rFonts w:ascii="Century Gothic" w:hAnsi="Century Gothic" w:cs="Calibri"/>
          <w:b/>
          <w:bCs/>
          <w:color w:val="44546A"/>
          <w:sz w:val="22"/>
          <w:szCs w:val="22"/>
          <w:lang w:val="mi-NZ"/>
        </w:rPr>
        <w:t xml:space="preserve">| </w:t>
      </w:r>
      <w:r w:rsidRPr="00DB1BC1">
        <w:rPr>
          <w:rFonts w:ascii="Century Gothic" w:hAnsi="Century Gothic" w:cs="Calibri"/>
          <w:color w:val="44546A"/>
          <w:sz w:val="22"/>
          <w:szCs w:val="22"/>
        </w:rPr>
        <w:t>Waikato, New Zealand</w:t>
      </w:r>
    </w:p>
    <w:p w14:paraId="765BF74B" w14:textId="77777777" w:rsidR="00C815A6" w:rsidRPr="00DB1BC1" w:rsidRDefault="00C815A6" w:rsidP="00C815A6">
      <w:pPr>
        <w:pStyle w:val="NormalWeb"/>
        <w:spacing w:before="0" w:beforeAutospacing="0" w:after="0" w:afterAutospacing="0" w:line="360" w:lineRule="auto"/>
        <w:jc w:val="center"/>
        <w:rPr>
          <w:rFonts w:ascii="Century Gothic" w:hAnsi="Century Gothic" w:cs="Arial"/>
          <w:color w:val="44546A"/>
          <w:sz w:val="22"/>
          <w:szCs w:val="22"/>
        </w:rPr>
      </w:pPr>
      <w:r w:rsidRPr="00DB1BC1">
        <w:rPr>
          <w:rFonts w:ascii="Century Gothic" w:hAnsi="Century Gothic" w:cs="Calibri"/>
          <w:color w:val="44546A"/>
          <w:sz w:val="22"/>
          <w:szCs w:val="22"/>
          <w:lang w:val="mi-NZ"/>
        </w:rPr>
        <w:t>Email: </w:t>
      </w:r>
      <w:hyperlink r:id="rId173" w:history="1">
        <w:r w:rsidRPr="00C815A6">
          <w:rPr>
            <w:rStyle w:val="Hyperlink"/>
            <w:rFonts w:ascii="Century Gothic" w:hAnsi="Century Gothic" w:cs="Calibri"/>
            <w:color w:val="44546A"/>
            <w:sz w:val="22"/>
            <w:szCs w:val="22"/>
            <w:lang w:val="mi-NZ"/>
          </w:rPr>
          <w:t>nidea@waikato.ac.nz</w:t>
        </w:r>
      </w:hyperlink>
      <w:r w:rsidRPr="00C815A6">
        <w:rPr>
          <w:rFonts w:ascii="Century Gothic" w:hAnsi="Century Gothic" w:cs="Calibri"/>
          <w:color w:val="44546A"/>
          <w:sz w:val="22"/>
          <w:szCs w:val="22"/>
          <w:lang w:val="mi-NZ"/>
        </w:rPr>
        <w:t xml:space="preserve"> </w:t>
      </w:r>
      <w:r w:rsidRPr="00DB1BC1">
        <w:rPr>
          <w:rFonts w:ascii="Century Gothic" w:hAnsi="Century Gothic" w:cs="Calibri"/>
          <w:b/>
          <w:bCs/>
          <w:color w:val="44546A"/>
          <w:sz w:val="22"/>
          <w:szCs w:val="22"/>
          <w:lang w:val="mi-NZ"/>
        </w:rPr>
        <w:t>|</w:t>
      </w:r>
      <w:r w:rsidRPr="00DB1BC1">
        <w:rPr>
          <w:rFonts w:ascii="Century Gothic" w:hAnsi="Century Gothic" w:cs="Calibri"/>
          <w:color w:val="44546A"/>
          <w:sz w:val="22"/>
          <w:szCs w:val="22"/>
          <w:lang w:val="mi-NZ"/>
        </w:rPr>
        <w:t> visit us at:  </w:t>
      </w:r>
      <w:hyperlink r:id="rId174" w:tgtFrame="_blank" w:history="1">
        <w:r w:rsidRPr="00DB1BC1">
          <w:rPr>
            <w:rStyle w:val="Hyperlink"/>
            <w:rFonts w:ascii="Century Gothic" w:hAnsi="Century Gothic" w:cs="Calibri"/>
            <w:color w:val="44546A"/>
            <w:sz w:val="22"/>
            <w:szCs w:val="22"/>
            <w:lang w:val="mi-NZ"/>
          </w:rPr>
          <w:t>www.waikato.ac.nz/nidea</w:t>
        </w:r>
      </w:hyperlink>
      <w:r w:rsidRPr="00DB1BC1">
        <w:rPr>
          <w:rFonts w:ascii="Century Gothic" w:hAnsi="Century Gothic" w:cs="Calibri"/>
          <w:color w:val="44546A"/>
          <w:sz w:val="22"/>
          <w:szCs w:val="22"/>
          <w:lang w:val="mi-NZ"/>
        </w:rPr>
        <w:t>/</w:t>
      </w:r>
    </w:p>
    <w:p w14:paraId="412AEAA9" w14:textId="77777777" w:rsidR="00AE5E74" w:rsidRPr="00C815A6" w:rsidRDefault="00AE5E74" w:rsidP="007928B6">
      <w:pPr>
        <w:spacing w:line="360" w:lineRule="auto"/>
        <w:rPr>
          <w:rFonts w:ascii="Century Gothic" w:hAnsi="Century Gothic"/>
          <w:sz w:val="21"/>
          <w:szCs w:val="21"/>
          <w:lang w:val="mi-NZ"/>
        </w:rPr>
      </w:pPr>
    </w:p>
    <w:p w14:paraId="26793D52" w14:textId="77777777" w:rsidR="00AE5E74" w:rsidRDefault="00AE5E74" w:rsidP="007928B6">
      <w:pPr>
        <w:spacing w:line="360" w:lineRule="auto"/>
        <w:rPr>
          <w:rFonts w:ascii="Century Gothic" w:hAnsi="Century Gothic"/>
          <w:sz w:val="21"/>
          <w:szCs w:val="21"/>
        </w:rPr>
      </w:pPr>
    </w:p>
    <w:p w14:paraId="14324A29" w14:textId="77777777" w:rsidR="00AE5E74" w:rsidRDefault="00AE5E74" w:rsidP="007928B6">
      <w:pPr>
        <w:spacing w:line="360" w:lineRule="auto"/>
        <w:rPr>
          <w:rFonts w:ascii="Century Gothic" w:hAnsi="Century Gothic"/>
          <w:sz w:val="21"/>
          <w:szCs w:val="21"/>
        </w:rPr>
      </w:pPr>
    </w:p>
    <w:p w14:paraId="6853B26D" w14:textId="60A35F9D" w:rsidR="00AE5E74" w:rsidRDefault="00AE5E74" w:rsidP="007928B6">
      <w:pPr>
        <w:spacing w:line="360" w:lineRule="auto"/>
        <w:rPr>
          <w:rFonts w:ascii="Century Gothic" w:hAnsi="Century Gothic"/>
          <w:sz w:val="21"/>
          <w:szCs w:val="21"/>
        </w:rPr>
      </w:pPr>
    </w:p>
    <w:sectPr w:rsidR="00AE5E74" w:rsidSect="00B4024C">
      <w:footerReference w:type="default" r:id="rId175"/>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E4A54" w14:textId="77777777" w:rsidR="00FD6EDA" w:rsidRDefault="00FD6EDA" w:rsidP="00691385">
      <w:pPr>
        <w:spacing w:after="0" w:line="240" w:lineRule="auto"/>
      </w:pPr>
      <w:r>
        <w:separator/>
      </w:r>
    </w:p>
  </w:endnote>
  <w:endnote w:type="continuationSeparator" w:id="0">
    <w:p w14:paraId="76A11976" w14:textId="77777777" w:rsidR="00FD6EDA" w:rsidRDefault="00FD6EDA" w:rsidP="0069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calaSans-Italic">
    <w:altName w:val="ScalaSans-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965376"/>
      <w:docPartObj>
        <w:docPartGallery w:val="Page Numbers (Bottom of Page)"/>
        <w:docPartUnique/>
      </w:docPartObj>
    </w:sdtPr>
    <w:sdtEndPr>
      <w:rPr>
        <w:rFonts w:ascii="Century Gothic" w:hAnsi="Century Gothic"/>
        <w:b/>
        <w:bCs/>
        <w:noProof/>
        <w:color w:val="4EAFC6"/>
      </w:rPr>
    </w:sdtEndPr>
    <w:sdtContent>
      <w:p w14:paraId="1BAD80B0" w14:textId="7E161BA5" w:rsidR="0094760F" w:rsidRPr="00A8121A" w:rsidRDefault="0094760F">
        <w:pPr>
          <w:pStyle w:val="Footer"/>
          <w:jc w:val="right"/>
          <w:rPr>
            <w:rFonts w:ascii="Century Gothic" w:hAnsi="Century Gothic"/>
            <w:b/>
            <w:bCs/>
            <w:color w:val="4EAFC6"/>
          </w:rPr>
        </w:pPr>
        <w:r>
          <w:rPr>
            <w:noProof/>
          </w:rPr>
          <w:drawing>
            <wp:anchor distT="0" distB="0" distL="114300" distR="114300" simplePos="0" relativeHeight="251659264" behindDoc="1" locked="0" layoutInCell="1" allowOverlap="1" wp14:anchorId="4489011B" wp14:editId="43699A1C">
              <wp:simplePos x="0" y="0"/>
              <wp:positionH relativeFrom="margin">
                <wp:posOffset>15875</wp:posOffset>
              </wp:positionH>
              <wp:positionV relativeFrom="paragraph">
                <wp:posOffset>-29292</wp:posOffset>
              </wp:positionV>
              <wp:extent cx="373380" cy="484505"/>
              <wp:effectExtent l="0" t="0" r="7620" b="0"/>
              <wp:wrapTight wrapText="bothSides">
                <wp:wrapPolygon edited="0">
                  <wp:start x="0" y="0"/>
                  <wp:lineTo x="0" y="20383"/>
                  <wp:lineTo x="20939" y="20383"/>
                  <wp:lineTo x="20939"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IN LOGO.JPG"/>
                      <pic:cNvPicPr/>
                    </pic:nvPicPr>
                    <pic:blipFill rotWithShape="1">
                      <a:blip r:embed="rId1" cstate="print">
                        <a:extLst>
                          <a:ext uri="{28A0092B-C50C-407E-A947-70E740481C1C}">
                            <a14:useLocalDpi xmlns:a14="http://schemas.microsoft.com/office/drawing/2010/main" val="0"/>
                          </a:ext>
                        </a:extLst>
                      </a:blip>
                      <a:srcRect r="86329" b="21819"/>
                      <a:stretch/>
                    </pic:blipFill>
                    <pic:spPr bwMode="auto">
                      <a:xfrm>
                        <a:off x="0" y="0"/>
                        <a:ext cx="373380" cy="484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8121A">
          <w:rPr>
            <w:rFonts w:ascii="Century Gothic" w:hAnsi="Century Gothic"/>
            <w:b/>
            <w:bCs/>
            <w:color w:val="4EAFC6"/>
          </w:rPr>
          <w:fldChar w:fldCharType="begin"/>
        </w:r>
        <w:r w:rsidRPr="00A8121A">
          <w:rPr>
            <w:rFonts w:ascii="Century Gothic" w:hAnsi="Century Gothic"/>
            <w:b/>
            <w:bCs/>
            <w:color w:val="4EAFC6"/>
          </w:rPr>
          <w:instrText xml:space="preserve"> PAGE   \* MERGEFORMAT </w:instrText>
        </w:r>
        <w:r w:rsidRPr="00A8121A">
          <w:rPr>
            <w:rFonts w:ascii="Century Gothic" w:hAnsi="Century Gothic"/>
            <w:b/>
            <w:bCs/>
            <w:color w:val="4EAFC6"/>
          </w:rPr>
          <w:fldChar w:fldCharType="separate"/>
        </w:r>
        <w:r w:rsidR="00CC3FF7">
          <w:rPr>
            <w:rFonts w:ascii="Century Gothic" w:hAnsi="Century Gothic"/>
            <w:b/>
            <w:bCs/>
            <w:noProof/>
            <w:color w:val="4EAFC6"/>
          </w:rPr>
          <w:t>16</w:t>
        </w:r>
        <w:r w:rsidRPr="00A8121A">
          <w:rPr>
            <w:rFonts w:ascii="Century Gothic" w:hAnsi="Century Gothic"/>
            <w:b/>
            <w:bCs/>
            <w:noProof/>
            <w:color w:val="4EAFC6"/>
          </w:rPr>
          <w:fldChar w:fldCharType="end"/>
        </w:r>
      </w:p>
    </w:sdtContent>
  </w:sdt>
  <w:p w14:paraId="75AF92E6" w14:textId="514EE4C0" w:rsidR="0094760F" w:rsidRPr="00AE5E74" w:rsidRDefault="0094760F" w:rsidP="00AE5E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126637"/>
      <w:docPartObj>
        <w:docPartGallery w:val="Page Numbers (Bottom of Page)"/>
        <w:docPartUnique/>
      </w:docPartObj>
    </w:sdtPr>
    <w:sdtEndPr/>
    <w:sdtContent>
      <w:sdt>
        <w:sdtPr>
          <w:id w:val="1608231109"/>
          <w:docPartObj>
            <w:docPartGallery w:val="Page Numbers (Top of Page)"/>
            <w:docPartUnique/>
          </w:docPartObj>
        </w:sdtPr>
        <w:sdtEndPr/>
        <w:sdtContent>
          <w:p w14:paraId="39CB9AE2" w14:textId="2D7E5487" w:rsidR="0094760F" w:rsidRDefault="0094760F">
            <w:pPr>
              <w:pStyle w:val="Footer"/>
              <w:jc w:val="right"/>
            </w:pPr>
            <w:r>
              <w:rPr>
                <w:noProof/>
              </w:rPr>
              <w:drawing>
                <wp:anchor distT="0" distB="0" distL="114300" distR="114300" simplePos="0" relativeHeight="251661312" behindDoc="1" locked="0" layoutInCell="1" allowOverlap="1" wp14:anchorId="6D70A0A2" wp14:editId="77267FBB">
                  <wp:simplePos x="0" y="0"/>
                  <wp:positionH relativeFrom="margin">
                    <wp:posOffset>0</wp:posOffset>
                  </wp:positionH>
                  <wp:positionV relativeFrom="paragraph">
                    <wp:posOffset>-60767</wp:posOffset>
                  </wp:positionV>
                  <wp:extent cx="373380" cy="484505"/>
                  <wp:effectExtent l="0" t="0" r="7620" b="0"/>
                  <wp:wrapTight wrapText="bothSides">
                    <wp:wrapPolygon edited="0">
                      <wp:start x="0" y="0"/>
                      <wp:lineTo x="0" y="20383"/>
                      <wp:lineTo x="20939" y="20383"/>
                      <wp:lineTo x="2093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IN LOGO.JPG"/>
                          <pic:cNvPicPr/>
                        </pic:nvPicPr>
                        <pic:blipFill rotWithShape="1">
                          <a:blip r:embed="rId1" cstate="print">
                            <a:extLst>
                              <a:ext uri="{28A0092B-C50C-407E-A947-70E740481C1C}">
                                <a14:useLocalDpi xmlns:a14="http://schemas.microsoft.com/office/drawing/2010/main" val="0"/>
                              </a:ext>
                            </a:extLst>
                          </a:blip>
                          <a:srcRect r="86329" b="21819"/>
                          <a:stretch/>
                        </pic:blipFill>
                        <pic:spPr bwMode="auto">
                          <a:xfrm>
                            <a:off x="0" y="0"/>
                            <a:ext cx="373380" cy="484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B35FF">
              <w:rPr>
                <w:rFonts w:ascii="Century Gothic" w:hAnsi="Century Gothic"/>
                <w:sz w:val="20"/>
                <w:szCs w:val="20"/>
              </w:rPr>
              <w:t xml:space="preserve">Page </w:t>
            </w:r>
            <w:r w:rsidRPr="00DB35FF">
              <w:rPr>
                <w:rFonts w:ascii="Century Gothic" w:hAnsi="Century Gothic"/>
                <w:b/>
                <w:bCs/>
                <w:sz w:val="20"/>
                <w:szCs w:val="20"/>
              </w:rPr>
              <w:fldChar w:fldCharType="begin"/>
            </w:r>
            <w:r w:rsidRPr="00DB35FF">
              <w:rPr>
                <w:rFonts w:ascii="Century Gothic" w:hAnsi="Century Gothic"/>
                <w:b/>
                <w:bCs/>
                <w:sz w:val="20"/>
                <w:szCs w:val="20"/>
              </w:rPr>
              <w:instrText xml:space="preserve"> PAGE </w:instrText>
            </w:r>
            <w:r w:rsidRPr="00DB35FF">
              <w:rPr>
                <w:rFonts w:ascii="Century Gothic" w:hAnsi="Century Gothic"/>
                <w:b/>
                <w:bCs/>
                <w:sz w:val="20"/>
                <w:szCs w:val="20"/>
              </w:rPr>
              <w:fldChar w:fldCharType="separate"/>
            </w:r>
            <w:r w:rsidR="00711F45">
              <w:rPr>
                <w:rFonts w:ascii="Century Gothic" w:hAnsi="Century Gothic"/>
                <w:b/>
                <w:bCs/>
                <w:noProof/>
                <w:sz w:val="20"/>
                <w:szCs w:val="20"/>
              </w:rPr>
              <w:t>1</w:t>
            </w:r>
            <w:r w:rsidRPr="00DB35FF">
              <w:rPr>
                <w:rFonts w:ascii="Century Gothic" w:hAnsi="Century Gothic"/>
                <w:b/>
                <w:bCs/>
                <w:sz w:val="20"/>
                <w:szCs w:val="20"/>
              </w:rPr>
              <w:fldChar w:fldCharType="end"/>
            </w:r>
            <w:r w:rsidRPr="00DB35FF">
              <w:rPr>
                <w:rFonts w:ascii="Century Gothic" w:hAnsi="Century Gothic"/>
                <w:sz w:val="20"/>
                <w:szCs w:val="20"/>
              </w:rPr>
              <w:t xml:space="preserve"> of </w:t>
            </w:r>
            <w:r w:rsidRPr="00DB35FF">
              <w:rPr>
                <w:rFonts w:ascii="Century Gothic" w:hAnsi="Century Gothic"/>
                <w:b/>
                <w:bCs/>
                <w:sz w:val="20"/>
                <w:szCs w:val="20"/>
              </w:rPr>
              <w:fldChar w:fldCharType="begin"/>
            </w:r>
            <w:r w:rsidRPr="00DB35FF">
              <w:rPr>
                <w:rFonts w:ascii="Century Gothic" w:hAnsi="Century Gothic"/>
                <w:b/>
                <w:bCs/>
                <w:sz w:val="20"/>
                <w:szCs w:val="20"/>
              </w:rPr>
              <w:instrText xml:space="preserve"> NUMPAGES  </w:instrText>
            </w:r>
            <w:r w:rsidRPr="00DB35FF">
              <w:rPr>
                <w:rFonts w:ascii="Century Gothic" w:hAnsi="Century Gothic"/>
                <w:b/>
                <w:bCs/>
                <w:sz w:val="20"/>
                <w:szCs w:val="20"/>
              </w:rPr>
              <w:fldChar w:fldCharType="separate"/>
            </w:r>
            <w:r w:rsidR="00711F45">
              <w:rPr>
                <w:rFonts w:ascii="Century Gothic" w:hAnsi="Century Gothic"/>
                <w:b/>
                <w:bCs/>
                <w:noProof/>
                <w:sz w:val="20"/>
                <w:szCs w:val="20"/>
              </w:rPr>
              <w:t>47</w:t>
            </w:r>
            <w:r w:rsidRPr="00DB35FF">
              <w:rPr>
                <w:rFonts w:ascii="Century Gothic" w:hAnsi="Century Gothic"/>
                <w:b/>
                <w:bCs/>
                <w:sz w:val="20"/>
                <w:szCs w:val="20"/>
              </w:rPr>
              <w:fldChar w:fldCharType="end"/>
            </w:r>
          </w:p>
        </w:sdtContent>
      </w:sdt>
    </w:sdtContent>
  </w:sdt>
  <w:p w14:paraId="42C9D3A1" w14:textId="22B33ED3" w:rsidR="0094760F" w:rsidRDefault="009476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146C7" w14:textId="77777777" w:rsidR="0094760F" w:rsidRDefault="0094760F" w:rsidP="00B4024C">
    <w:pPr>
      <w:pStyle w:val="Footer"/>
      <w:jc w:val="right"/>
    </w:pPr>
  </w:p>
  <w:p w14:paraId="4FB54A16" w14:textId="77777777" w:rsidR="0094760F" w:rsidRPr="00AE5E74" w:rsidRDefault="0094760F" w:rsidP="00AE5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9F124" w14:textId="77777777" w:rsidR="00FD6EDA" w:rsidRDefault="00FD6EDA" w:rsidP="00691385">
      <w:pPr>
        <w:spacing w:after="0" w:line="240" w:lineRule="auto"/>
      </w:pPr>
      <w:r>
        <w:separator/>
      </w:r>
    </w:p>
  </w:footnote>
  <w:footnote w:type="continuationSeparator" w:id="0">
    <w:p w14:paraId="13BACB26" w14:textId="77777777" w:rsidR="00FD6EDA" w:rsidRDefault="00FD6EDA" w:rsidP="00691385">
      <w:pPr>
        <w:spacing w:after="0" w:line="240" w:lineRule="auto"/>
      </w:pPr>
      <w:r>
        <w:continuationSeparator/>
      </w:r>
    </w:p>
  </w:footnote>
  <w:footnote w:id="1">
    <w:p w14:paraId="2CDCF36F" w14:textId="6D454738" w:rsidR="0094760F" w:rsidRPr="0065189F" w:rsidRDefault="0094760F">
      <w:pPr>
        <w:pStyle w:val="FootnoteText"/>
        <w:rPr>
          <w:rFonts w:ascii="Century Gothic" w:hAnsi="Century Gothic"/>
          <w:sz w:val="18"/>
          <w:szCs w:val="18"/>
        </w:rPr>
      </w:pPr>
      <w:r w:rsidRPr="0065189F">
        <w:rPr>
          <w:rStyle w:val="FootnoteReference"/>
          <w:rFonts w:ascii="Century Gothic" w:hAnsi="Century Gothic"/>
          <w:sz w:val="18"/>
          <w:szCs w:val="18"/>
        </w:rPr>
        <w:footnoteRef/>
      </w:r>
      <w:r w:rsidRPr="0065189F">
        <w:rPr>
          <w:rFonts w:ascii="Century Gothic" w:hAnsi="Century Gothic"/>
          <w:sz w:val="18"/>
          <w:szCs w:val="18"/>
        </w:rPr>
        <w:t xml:space="preserve"> They are: </w:t>
      </w:r>
      <w:proofErr w:type="spellStart"/>
      <w:r w:rsidRPr="0065189F">
        <w:rPr>
          <w:rFonts w:ascii="Century Gothic" w:hAnsi="Century Gothic"/>
          <w:sz w:val="18"/>
          <w:szCs w:val="18"/>
        </w:rPr>
        <w:t>Ngāpuhi</w:t>
      </w:r>
      <w:proofErr w:type="spellEnd"/>
      <w:r w:rsidRPr="0065189F">
        <w:rPr>
          <w:rFonts w:ascii="Century Gothic" w:hAnsi="Century Gothic"/>
          <w:sz w:val="18"/>
          <w:szCs w:val="18"/>
        </w:rPr>
        <w:t xml:space="preserve">, </w:t>
      </w:r>
      <w:proofErr w:type="spellStart"/>
      <w:r w:rsidRPr="0065189F">
        <w:rPr>
          <w:rFonts w:ascii="Century Gothic" w:hAnsi="Century Gothic"/>
          <w:sz w:val="18"/>
          <w:szCs w:val="18"/>
        </w:rPr>
        <w:t>Ngāti</w:t>
      </w:r>
      <w:proofErr w:type="spellEnd"/>
      <w:r w:rsidRPr="0065189F">
        <w:rPr>
          <w:rFonts w:ascii="Century Gothic" w:hAnsi="Century Gothic"/>
          <w:sz w:val="18"/>
          <w:szCs w:val="18"/>
        </w:rPr>
        <w:t xml:space="preserve"> </w:t>
      </w:r>
      <w:proofErr w:type="spellStart"/>
      <w:r w:rsidRPr="0065189F">
        <w:rPr>
          <w:rFonts w:ascii="Century Gothic" w:hAnsi="Century Gothic"/>
          <w:sz w:val="18"/>
          <w:szCs w:val="18"/>
        </w:rPr>
        <w:t>Maniapoto</w:t>
      </w:r>
      <w:proofErr w:type="spellEnd"/>
      <w:r w:rsidRPr="0065189F">
        <w:rPr>
          <w:rFonts w:ascii="Century Gothic" w:hAnsi="Century Gothic"/>
          <w:sz w:val="18"/>
          <w:szCs w:val="18"/>
        </w:rPr>
        <w:t xml:space="preserve">, Waikato, </w:t>
      </w:r>
      <w:proofErr w:type="spellStart"/>
      <w:r w:rsidRPr="0065189F">
        <w:rPr>
          <w:rFonts w:ascii="Century Gothic" w:hAnsi="Century Gothic"/>
          <w:sz w:val="18"/>
          <w:szCs w:val="18"/>
        </w:rPr>
        <w:t>Ngāti</w:t>
      </w:r>
      <w:proofErr w:type="spellEnd"/>
      <w:r w:rsidRPr="0065189F">
        <w:rPr>
          <w:rFonts w:ascii="Century Gothic" w:hAnsi="Century Gothic"/>
          <w:sz w:val="18"/>
          <w:szCs w:val="18"/>
        </w:rPr>
        <w:t xml:space="preserve"> </w:t>
      </w:r>
      <w:proofErr w:type="spellStart"/>
      <w:r w:rsidRPr="0065189F">
        <w:rPr>
          <w:rFonts w:ascii="Century Gothic" w:hAnsi="Century Gothic"/>
          <w:sz w:val="18"/>
          <w:szCs w:val="18"/>
        </w:rPr>
        <w:t>Tūwharetoa</w:t>
      </w:r>
      <w:proofErr w:type="spellEnd"/>
      <w:r w:rsidRPr="0065189F">
        <w:rPr>
          <w:rFonts w:ascii="Century Gothic" w:hAnsi="Century Gothic"/>
          <w:sz w:val="18"/>
          <w:szCs w:val="18"/>
        </w:rPr>
        <w:t xml:space="preserve">, </w:t>
      </w:r>
      <w:proofErr w:type="spellStart"/>
      <w:r w:rsidRPr="0065189F">
        <w:rPr>
          <w:rFonts w:ascii="Century Gothic" w:hAnsi="Century Gothic"/>
          <w:sz w:val="18"/>
          <w:szCs w:val="18"/>
        </w:rPr>
        <w:t>Tūhoe</w:t>
      </w:r>
      <w:proofErr w:type="spellEnd"/>
      <w:r w:rsidRPr="0065189F">
        <w:rPr>
          <w:rFonts w:ascii="Century Gothic" w:hAnsi="Century Gothic"/>
          <w:sz w:val="18"/>
          <w:szCs w:val="18"/>
        </w:rPr>
        <w:t xml:space="preserve">, </w:t>
      </w:r>
      <w:proofErr w:type="spellStart"/>
      <w:r w:rsidRPr="0065189F">
        <w:rPr>
          <w:rFonts w:ascii="Century Gothic" w:hAnsi="Century Gothic"/>
          <w:sz w:val="18"/>
          <w:szCs w:val="18"/>
        </w:rPr>
        <w:t>Ngāti</w:t>
      </w:r>
      <w:proofErr w:type="spellEnd"/>
      <w:r w:rsidRPr="0065189F">
        <w:rPr>
          <w:rFonts w:ascii="Century Gothic" w:hAnsi="Century Gothic"/>
          <w:sz w:val="18"/>
          <w:szCs w:val="18"/>
        </w:rPr>
        <w:t xml:space="preserve"> </w:t>
      </w:r>
      <w:proofErr w:type="spellStart"/>
      <w:r w:rsidRPr="0065189F">
        <w:rPr>
          <w:rFonts w:ascii="Century Gothic" w:hAnsi="Century Gothic"/>
          <w:sz w:val="18"/>
          <w:szCs w:val="18"/>
        </w:rPr>
        <w:t>Porou</w:t>
      </w:r>
      <w:proofErr w:type="spellEnd"/>
      <w:r w:rsidRPr="0065189F">
        <w:rPr>
          <w:rFonts w:ascii="Century Gothic" w:hAnsi="Century Gothic"/>
          <w:sz w:val="18"/>
          <w:szCs w:val="18"/>
        </w:rPr>
        <w:t xml:space="preserve">, </w:t>
      </w:r>
      <w:proofErr w:type="spellStart"/>
      <w:r w:rsidRPr="0065189F">
        <w:rPr>
          <w:rFonts w:ascii="Century Gothic" w:hAnsi="Century Gothic"/>
          <w:sz w:val="18"/>
          <w:szCs w:val="18"/>
        </w:rPr>
        <w:t>Ngāti</w:t>
      </w:r>
      <w:proofErr w:type="spellEnd"/>
      <w:r w:rsidRPr="0065189F">
        <w:rPr>
          <w:rFonts w:ascii="Century Gothic" w:hAnsi="Century Gothic"/>
          <w:sz w:val="18"/>
          <w:szCs w:val="18"/>
        </w:rPr>
        <w:t xml:space="preserve"> </w:t>
      </w:r>
      <w:proofErr w:type="spellStart"/>
      <w:r w:rsidRPr="0065189F">
        <w:rPr>
          <w:rFonts w:ascii="Century Gothic" w:hAnsi="Century Gothic"/>
          <w:sz w:val="18"/>
          <w:szCs w:val="18"/>
        </w:rPr>
        <w:t>Kahungunu</w:t>
      </w:r>
      <w:proofErr w:type="spellEnd"/>
      <w:r w:rsidRPr="0065189F">
        <w:rPr>
          <w:rFonts w:ascii="Century Gothic" w:hAnsi="Century Gothic"/>
          <w:sz w:val="18"/>
          <w:szCs w:val="18"/>
        </w:rPr>
        <w:t xml:space="preserve"> </w:t>
      </w:r>
      <w:proofErr w:type="spellStart"/>
      <w:r w:rsidRPr="0065189F">
        <w:rPr>
          <w:rFonts w:ascii="Century Gothic" w:hAnsi="Century Gothic"/>
          <w:sz w:val="18"/>
          <w:szCs w:val="18"/>
        </w:rPr>
        <w:t>ki</w:t>
      </w:r>
      <w:proofErr w:type="spellEnd"/>
      <w:r w:rsidRPr="0065189F">
        <w:rPr>
          <w:rFonts w:ascii="Century Gothic" w:hAnsi="Century Gothic"/>
          <w:sz w:val="18"/>
          <w:szCs w:val="18"/>
        </w:rPr>
        <w:t xml:space="preserve"> </w:t>
      </w:r>
      <w:proofErr w:type="spellStart"/>
      <w:r w:rsidRPr="0065189F">
        <w:rPr>
          <w:rFonts w:ascii="Century Gothic" w:hAnsi="Century Gothic"/>
          <w:sz w:val="18"/>
          <w:szCs w:val="18"/>
        </w:rPr>
        <w:t>Te</w:t>
      </w:r>
      <w:proofErr w:type="spellEnd"/>
      <w:r w:rsidRPr="0065189F">
        <w:rPr>
          <w:rFonts w:ascii="Century Gothic" w:hAnsi="Century Gothic"/>
          <w:sz w:val="18"/>
          <w:szCs w:val="18"/>
        </w:rPr>
        <w:t xml:space="preserve"> Wairoa and </w:t>
      </w:r>
      <w:proofErr w:type="spellStart"/>
      <w:r w:rsidRPr="0065189F">
        <w:rPr>
          <w:rFonts w:ascii="Century Gothic" w:hAnsi="Century Gothic"/>
          <w:sz w:val="18"/>
          <w:szCs w:val="18"/>
        </w:rPr>
        <w:t>Ngāi</w:t>
      </w:r>
      <w:proofErr w:type="spellEnd"/>
      <w:r w:rsidRPr="0065189F">
        <w:rPr>
          <w:rFonts w:ascii="Century Gothic" w:hAnsi="Century Gothic"/>
          <w:sz w:val="18"/>
          <w:szCs w:val="18"/>
        </w:rPr>
        <w:t xml:space="preserve"> Tahu</w:t>
      </w:r>
    </w:p>
    <w:p w14:paraId="26CBA352" w14:textId="77777777" w:rsidR="0094760F" w:rsidRPr="0065189F" w:rsidRDefault="0094760F">
      <w:pPr>
        <w:pStyle w:val="FootnoteText"/>
        <w:rPr>
          <w:rFonts w:ascii="Century Gothic" w:hAnsi="Century Gothic"/>
          <w:sz w:val="18"/>
          <w:szCs w:val="18"/>
        </w:rPr>
      </w:pPr>
    </w:p>
  </w:footnote>
  <w:footnote w:id="2">
    <w:p w14:paraId="2CB8B730" w14:textId="77777777" w:rsidR="0094760F" w:rsidRPr="0065189F" w:rsidRDefault="0094760F" w:rsidP="00FE6316">
      <w:pPr>
        <w:pStyle w:val="FootnoteText"/>
        <w:spacing w:line="276" w:lineRule="auto"/>
        <w:rPr>
          <w:rFonts w:ascii="Century Gothic" w:hAnsi="Century Gothic"/>
          <w:sz w:val="18"/>
          <w:szCs w:val="18"/>
        </w:rPr>
      </w:pPr>
      <w:r w:rsidRPr="0065189F">
        <w:rPr>
          <w:rStyle w:val="FootnoteReference"/>
          <w:rFonts w:ascii="Century Gothic" w:hAnsi="Century Gothic"/>
          <w:sz w:val="18"/>
          <w:szCs w:val="18"/>
        </w:rPr>
        <w:footnoteRef/>
      </w:r>
      <w:r w:rsidRPr="0065189F">
        <w:rPr>
          <w:rFonts w:ascii="Century Gothic" w:hAnsi="Century Gothic"/>
          <w:sz w:val="18"/>
          <w:szCs w:val="18"/>
        </w:rPr>
        <w:t xml:space="preserve"> The Ministry of Education also collects iwi data for students although such data have only become reliable since 2008 and tends to be of limited value for small iwi (i.e., with less than 1,000 members).</w:t>
      </w:r>
    </w:p>
    <w:p w14:paraId="46FB279B" w14:textId="77777777" w:rsidR="0094760F" w:rsidRPr="0065189F" w:rsidRDefault="0094760F" w:rsidP="00FE6316">
      <w:pPr>
        <w:pStyle w:val="FootnoteText"/>
        <w:spacing w:line="276" w:lineRule="auto"/>
        <w:rPr>
          <w:rFonts w:ascii="Century Gothic" w:hAnsi="Century Gothic"/>
          <w:sz w:val="18"/>
          <w:szCs w:val="18"/>
        </w:rPr>
      </w:pPr>
    </w:p>
  </w:footnote>
  <w:footnote w:id="3">
    <w:p w14:paraId="28CEEDD6" w14:textId="2C2B4EA9" w:rsidR="0094760F" w:rsidRPr="0065189F" w:rsidRDefault="0094760F">
      <w:pPr>
        <w:pStyle w:val="FootnoteText"/>
        <w:rPr>
          <w:rFonts w:ascii="Century Gothic" w:hAnsi="Century Gothic"/>
          <w:sz w:val="18"/>
          <w:szCs w:val="18"/>
          <w:lang w:val="mi-NZ"/>
        </w:rPr>
      </w:pPr>
      <w:r w:rsidRPr="0065189F">
        <w:rPr>
          <w:rStyle w:val="FootnoteReference"/>
          <w:rFonts w:ascii="Century Gothic" w:hAnsi="Century Gothic"/>
          <w:sz w:val="18"/>
          <w:szCs w:val="18"/>
        </w:rPr>
        <w:footnoteRef/>
      </w:r>
      <w:r w:rsidRPr="0065189F">
        <w:rPr>
          <w:rFonts w:ascii="Century Gothic" w:hAnsi="Century Gothic"/>
          <w:sz w:val="18"/>
          <w:szCs w:val="18"/>
        </w:rPr>
        <w:t xml:space="preserve"> The classification could be found here: http://www.stats.govt.nz/methods/classifications-and-standards/classification-related-stats-standards/iwi.aspx</w:t>
      </w:r>
    </w:p>
  </w:footnote>
  <w:footnote w:id="4">
    <w:p w14:paraId="0B2C9D0E" w14:textId="6A25C50C" w:rsidR="0094760F" w:rsidRPr="0065189F" w:rsidRDefault="0094760F" w:rsidP="0065189F">
      <w:pPr>
        <w:pStyle w:val="FootnoteText"/>
        <w:spacing w:line="360" w:lineRule="auto"/>
        <w:rPr>
          <w:rFonts w:ascii="Century Gothic" w:hAnsi="Century Gothic"/>
          <w:sz w:val="18"/>
          <w:szCs w:val="18"/>
        </w:rPr>
      </w:pPr>
      <w:r w:rsidRPr="0065189F">
        <w:rPr>
          <w:rStyle w:val="FootnoteReference"/>
          <w:rFonts w:ascii="Century Gothic" w:hAnsi="Century Gothic"/>
          <w:sz w:val="18"/>
          <w:szCs w:val="18"/>
        </w:rPr>
        <w:footnoteRef/>
      </w:r>
      <w:r w:rsidRPr="0065189F">
        <w:rPr>
          <w:rFonts w:ascii="Century Gothic" w:hAnsi="Century Gothic"/>
          <w:sz w:val="18"/>
          <w:szCs w:val="18"/>
        </w:rPr>
        <w:t xml:space="preserve"> The Māori grouping most often used in relation to official statistical data is the Māori Ethnic Group or MEG. We use the larger Māori descent grouping for consistency as the descent/ancestry question in the census provides the filter for the iwi affiliation question. As well the descent/ancestry question is underpinned by a concept of whakapapa which is more closely aligned with iwi identification. By contrast the ethnicity question is based on the concept of self-identified socio-cultural affiliation.</w:t>
      </w:r>
    </w:p>
  </w:footnote>
  <w:footnote w:id="5">
    <w:p w14:paraId="41F3F7B5" w14:textId="28520C6E" w:rsidR="0094760F" w:rsidRDefault="0094760F">
      <w:pPr>
        <w:pStyle w:val="FootnoteText"/>
      </w:pPr>
      <w:r>
        <w:rPr>
          <w:rStyle w:val="FootnoteReference"/>
        </w:rPr>
        <w:footnoteRef/>
      </w:r>
      <w:r>
        <w:t xml:space="preserve"> Personal communication, Robyn </w:t>
      </w:r>
      <w:proofErr w:type="spellStart"/>
      <w:r>
        <w:t>Rauna</w:t>
      </w:r>
      <w:proofErr w:type="spellEnd"/>
      <w:r>
        <w:t>.</w:t>
      </w:r>
    </w:p>
    <w:p w14:paraId="6EB3A44F" w14:textId="77777777" w:rsidR="0094760F" w:rsidRPr="006D4D5C" w:rsidRDefault="0094760F">
      <w:pPr>
        <w:pStyle w:val="FootnoteText"/>
      </w:pPr>
    </w:p>
  </w:footnote>
  <w:footnote w:id="6">
    <w:p w14:paraId="544F606C" w14:textId="15DBD0C8" w:rsidR="0094760F" w:rsidRPr="003F7AE9" w:rsidRDefault="0094760F">
      <w:pPr>
        <w:pStyle w:val="FootnoteText"/>
      </w:pPr>
      <w:r>
        <w:rPr>
          <w:rStyle w:val="FootnoteReference"/>
        </w:rPr>
        <w:footnoteRef/>
      </w:r>
      <w:r>
        <w:t xml:space="preserve"> We do not have the number registered at the time of the 5 March 2013 census.</w:t>
      </w:r>
    </w:p>
  </w:footnote>
  <w:footnote w:id="7">
    <w:p w14:paraId="4117547D" w14:textId="77777777" w:rsidR="0094760F" w:rsidRPr="0065189F" w:rsidRDefault="0094760F" w:rsidP="0065189F">
      <w:pPr>
        <w:pStyle w:val="FootnoteText"/>
        <w:spacing w:line="360" w:lineRule="auto"/>
        <w:rPr>
          <w:sz w:val="18"/>
          <w:szCs w:val="18"/>
          <w:lang w:val="mi-NZ"/>
        </w:rPr>
      </w:pPr>
      <w:r w:rsidRPr="0065189F">
        <w:rPr>
          <w:rStyle w:val="FootnoteReference"/>
          <w:sz w:val="18"/>
          <w:szCs w:val="18"/>
        </w:rPr>
        <w:footnoteRef/>
      </w:r>
      <w:r w:rsidRPr="0065189F">
        <w:rPr>
          <w:sz w:val="18"/>
          <w:szCs w:val="18"/>
        </w:rPr>
        <w:t xml:space="preserve"> </w:t>
      </w:r>
      <w:r w:rsidRPr="0065189F">
        <w:rPr>
          <w:rFonts w:ascii="Century Gothic" w:hAnsi="Century Gothic"/>
          <w:sz w:val="18"/>
          <w:szCs w:val="18"/>
          <w:lang w:val="mi-NZ"/>
        </w:rPr>
        <w:t>This data was downloaded from the Statistics New Zealand website using the NZ.Stat tool. The rates excluded those too young to speak and those ‘not stated’ from the denominator.</w:t>
      </w:r>
    </w:p>
  </w:footnote>
  <w:footnote w:id="8">
    <w:p w14:paraId="0534917B" w14:textId="54710708" w:rsidR="00CA165C" w:rsidRPr="00CA165C" w:rsidRDefault="00CA165C">
      <w:pPr>
        <w:pStyle w:val="FootnoteText"/>
        <w:rPr>
          <w:lang w:val="mi-NZ"/>
        </w:rPr>
      </w:pPr>
      <w:r>
        <w:rPr>
          <w:rStyle w:val="FootnoteReference"/>
        </w:rPr>
        <w:footnoteRef/>
      </w:r>
      <w:r w:rsidRPr="00CA165C">
        <w:rPr>
          <w:lang w:val="mi-NZ"/>
        </w:rPr>
        <w:t xml:space="preserve"> </w:t>
      </w:r>
      <w:r w:rsidRPr="00756B20">
        <w:rPr>
          <w:rFonts w:ascii="Century Gothic" w:hAnsi="Century Gothic"/>
          <w:sz w:val="18"/>
          <w:szCs w:val="18"/>
          <w:lang w:val="mi-NZ"/>
        </w:rPr>
        <w:t>http://www.stats.govt.nz/browse_for_stats/people_and_communities/maori/te-kupenga/small-domain-estimation/small-domain-csv</w:t>
      </w:r>
    </w:p>
  </w:footnote>
  <w:footnote w:id="9">
    <w:p w14:paraId="18FE771E" w14:textId="17EF5070" w:rsidR="0094760F" w:rsidRPr="00432EF9" w:rsidRDefault="0094760F" w:rsidP="00432EF9">
      <w:pPr>
        <w:pStyle w:val="FootnoteText"/>
      </w:pPr>
      <w:r>
        <w:rPr>
          <w:rStyle w:val="FootnoteReference"/>
        </w:rPr>
        <w:footnoteRef/>
      </w:r>
      <w:r>
        <w:t xml:space="preserve"> As of 14 August 2017, of the 2,546 registered members on the </w:t>
      </w:r>
      <w:proofErr w:type="spellStart"/>
      <w:r>
        <w:t>Ngāi</w:t>
      </w:r>
      <w:proofErr w:type="spellEnd"/>
      <w:r>
        <w:t xml:space="preserve"> </w:t>
      </w:r>
      <w:proofErr w:type="spellStart"/>
      <w:r>
        <w:t>Tāmanuhiri</w:t>
      </w:r>
      <w:proofErr w:type="spellEnd"/>
      <w:r>
        <w:t xml:space="preserve"> database, 366 (14.4 per cent) had an Australian address. </w:t>
      </w:r>
    </w:p>
  </w:footnote>
  <w:footnote w:id="10">
    <w:p w14:paraId="152E3D5A" w14:textId="79DB6997" w:rsidR="0094760F" w:rsidRPr="00995709" w:rsidRDefault="0094760F" w:rsidP="004E0A80">
      <w:pPr>
        <w:pStyle w:val="FootnoteText"/>
        <w:spacing w:line="360" w:lineRule="auto"/>
        <w:rPr>
          <w:rFonts w:ascii="Century Gothic" w:hAnsi="Century Gothic"/>
          <w:sz w:val="18"/>
          <w:szCs w:val="18"/>
          <w:lang w:val="mi-NZ"/>
        </w:rPr>
      </w:pPr>
      <w:r w:rsidRPr="00995709">
        <w:rPr>
          <w:rStyle w:val="FootnoteReference"/>
          <w:rFonts w:ascii="Century Gothic" w:hAnsi="Century Gothic"/>
          <w:sz w:val="18"/>
          <w:szCs w:val="18"/>
        </w:rPr>
        <w:footnoteRef/>
      </w:r>
      <w:r w:rsidRPr="00995709">
        <w:rPr>
          <w:rFonts w:ascii="Century Gothic" w:hAnsi="Century Gothic"/>
          <w:sz w:val="18"/>
          <w:szCs w:val="18"/>
        </w:rPr>
        <w:t xml:space="preserve"> We could get a better sense of the link between education and </w:t>
      </w:r>
      <w:proofErr w:type="spellStart"/>
      <w:proofErr w:type="gramStart"/>
      <w:r w:rsidRPr="00995709">
        <w:rPr>
          <w:rFonts w:ascii="Century Gothic" w:hAnsi="Century Gothic"/>
          <w:sz w:val="18"/>
          <w:szCs w:val="18"/>
        </w:rPr>
        <w:t>te</w:t>
      </w:r>
      <w:proofErr w:type="spellEnd"/>
      <w:proofErr w:type="gramEnd"/>
      <w:r w:rsidRPr="00995709">
        <w:rPr>
          <w:rFonts w:ascii="Century Gothic" w:hAnsi="Century Gothic"/>
          <w:sz w:val="18"/>
          <w:szCs w:val="18"/>
        </w:rPr>
        <w:t xml:space="preserve"> reo Māori using individual-level data available in the Integrated Data Infrastructure that is overseen by Statistics New Zealand. That sort of analysis is far more complex and is beyond the scope of this particular project.</w:t>
      </w:r>
    </w:p>
  </w:footnote>
  <w:footnote w:id="11">
    <w:p w14:paraId="4265E8F5" w14:textId="4C828473" w:rsidR="0094760F" w:rsidRPr="0065189F" w:rsidRDefault="0094760F" w:rsidP="0065189F">
      <w:pPr>
        <w:pStyle w:val="FootnoteText"/>
        <w:spacing w:line="360" w:lineRule="auto"/>
        <w:rPr>
          <w:rFonts w:ascii="Century Gothic" w:hAnsi="Century Gothic"/>
          <w:sz w:val="18"/>
          <w:szCs w:val="18"/>
          <w:lang w:val="mi-NZ"/>
        </w:rPr>
      </w:pPr>
      <w:r w:rsidRPr="0065189F">
        <w:rPr>
          <w:rStyle w:val="FootnoteReference"/>
          <w:rFonts w:ascii="Century Gothic" w:hAnsi="Century Gothic"/>
          <w:sz w:val="18"/>
          <w:szCs w:val="18"/>
        </w:rPr>
        <w:footnoteRef/>
      </w:r>
      <w:r w:rsidRPr="0065189F">
        <w:rPr>
          <w:rFonts w:ascii="Century Gothic" w:hAnsi="Century Gothic"/>
          <w:sz w:val="18"/>
          <w:szCs w:val="18"/>
        </w:rPr>
        <w:t xml:space="preserve"> </w:t>
      </w:r>
      <w:r w:rsidRPr="0065189F">
        <w:rPr>
          <w:rFonts w:ascii="Century Gothic" w:hAnsi="Century Gothic"/>
          <w:sz w:val="18"/>
          <w:szCs w:val="18"/>
          <w:lang w:val="mi-NZ"/>
        </w:rPr>
        <w:t xml:space="preserve">Due to the small numbers we were unable to age-standardize the rates to control for the differential effects of age on employment status. </w:t>
      </w:r>
      <w:r w:rsidRPr="0065189F">
        <w:rPr>
          <w:rFonts w:ascii="Century Gothic" w:hAnsi="Century Gothic"/>
          <w:sz w:val="18"/>
          <w:szCs w:val="18"/>
        </w:rPr>
        <w:t>The labour force participation rate = 15-64 years in the labour force / pop.15-64 years * 100. The employment rate = 15-64 years employed / labour force * 100</w:t>
      </w:r>
      <w:r>
        <w:rPr>
          <w:rFonts w:ascii="Century Gothic" w:hAnsi="Century Gothic"/>
          <w:sz w:val="18"/>
          <w:szCs w:val="18"/>
        </w:rPr>
        <w:t>.</w:t>
      </w:r>
    </w:p>
  </w:footnote>
  <w:footnote w:id="12">
    <w:p w14:paraId="4A728A7C" w14:textId="77777777" w:rsidR="0094760F" w:rsidRPr="0065189F" w:rsidRDefault="0094760F" w:rsidP="00432583">
      <w:pPr>
        <w:pStyle w:val="FootnoteText"/>
        <w:spacing w:line="360" w:lineRule="auto"/>
        <w:rPr>
          <w:sz w:val="18"/>
          <w:szCs w:val="18"/>
          <w:lang w:val="mi-NZ"/>
        </w:rPr>
      </w:pPr>
      <w:r w:rsidRPr="0065189F">
        <w:rPr>
          <w:rStyle w:val="FootnoteReference"/>
          <w:rFonts w:ascii="Century Gothic" w:hAnsi="Century Gothic"/>
          <w:sz w:val="18"/>
          <w:szCs w:val="18"/>
        </w:rPr>
        <w:footnoteRef/>
      </w:r>
      <w:r w:rsidRPr="0065189F">
        <w:rPr>
          <w:rFonts w:ascii="Century Gothic" w:hAnsi="Century Gothic"/>
          <w:sz w:val="18"/>
          <w:szCs w:val="18"/>
          <w:lang w:val="mi-NZ"/>
        </w:rPr>
        <w:t xml:space="preserve"> </w:t>
      </w:r>
      <w:r w:rsidRPr="0065189F">
        <w:rPr>
          <w:rFonts w:ascii="Century Gothic" w:hAnsi="Century Gothic"/>
          <w:sz w:val="18"/>
          <w:szCs w:val="18"/>
          <w:lang w:val="mi-NZ"/>
        </w:rPr>
        <w:t>See: http://www.stats.govt.nz/browse_for_stats/income-and-work/employment_and_unemployment/LabourMarketStatistics_HOTPJun16qtr-incl-HLFS/Tables.aspx</w:t>
      </w:r>
    </w:p>
  </w:footnote>
  <w:footnote w:id="13">
    <w:p w14:paraId="0F13343F" w14:textId="24016352" w:rsidR="0094760F" w:rsidRPr="0065189F" w:rsidRDefault="0094760F" w:rsidP="00695ADA">
      <w:pPr>
        <w:pStyle w:val="FootnoteText"/>
        <w:spacing w:line="360" w:lineRule="auto"/>
        <w:rPr>
          <w:rFonts w:ascii="Century Gothic" w:hAnsi="Century Gothic"/>
          <w:sz w:val="18"/>
          <w:szCs w:val="18"/>
          <w:lang w:val="mi-NZ"/>
        </w:rPr>
      </w:pPr>
      <w:r w:rsidRPr="0065189F">
        <w:rPr>
          <w:rStyle w:val="FootnoteReference"/>
          <w:rFonts w:ascii="Century Gothic" w:hAnsi="Century Gothic"/>
          <w:sz w:val="18"/>
          <w:szCs w:val="18"/>
        </w:rPr>
        <w:footnoteRef/>
      </w:r>
      <w:r w:rsidRPr="0065189F">
        <w:rPr>
          <w:rFonts w:ascii="Century Gothic" w:hAnsi="Century Gothic"/>
          <w:sz w:val="18"/>
          <w:szCs w:val="18"/>
          <w:lang w:val="mi-NZ"/>
        </w:rPr>
        <w:t xml:space="preserve"> See: </w:t>
      </w:r>
      <w:r w:rsidRPr="00995709">
        <w:rPr>
          <w:rFonts w:ascii="Century Gothic" w:hAnsi="Century Gothic"/>
          <w:sz w:val="18"/>
          <w:szCs w:val="18"/>
          <w:lang w:val="mi-NZ"/>
        </w:rPr>
        <w:t>http://www.stats.govt.nz/browse_for_stats/snapshots-of-nz/nz-progress-indicators/Home/Economic/unemployment-rate.aspx</w:t>
      </w:r>
    </w:p>
    <w:p w14:paraId="6EC81E2A" w14:textId="77777777" w:rsidR="0094760F" w:rsidRPr="0065189F" w:rsidRDefault="0094760F" w:rsidP="00695ADA">
      <w:pPr>
        <w:pStyle w:val="FootnoteText"/>
        <w:spacing w:line="360" w:lineRule="auto"/>
        <w:rPr>
          <w:rFonts w:ascii="Century Gothic" w:hAnsi="Century Gothic"/>
          <w:sz w:val="18"/>
          <w:szCs w:val="18"/>
          <w:lang w:val="mi-NZ"/>
        </w:rPr>
      </w:pPr>
    </w:p>
  </w:footnote>
  <w:footnote w:id="14">
    <w:p w14:paraId="5F935A18" w14:textId="235A6FF9" w:rsidR="0094760F" w:rsidRPr="0065189F" w:rsidRDefault="0094760F" w:rsidP="004D7F3D">
      <w:pPr>
        <w:pStyle w:val="FootnoteText"/>
        <w:spacing w:line="360" w:lineRule="auto"/>
        <w:rPr>
          <w:rFonts w:ascii="Century Gothic" w:hAnsi="Century Gothic"/>
          <w:sz w:val="18"/>
          <w:szCs w:val="18"/>
          <w:lang w:val="mi-NZ"/>
        </w:rPr>
      </w:pPr>
      <w:r w:rsidRPr="0065189F">
        <w:rPr>
          <w:rStyle w:val="FootnoteReference"/>
          <w:rFonts w:ascii="Century Gothic" w:hAnsi="Century Gothic"/>
          <w:sz w:val="18"/>
          <w:szCs w:val="18"/>
        </w:rPr>
        <w:footnoteRef/>
      </w:r>
      <w:r w:rsidRPr="0065189F">
        <w:rPr>
          <w:rFonts w:ascii="Century Gothic" w:hAnsi="Century Gothic"/>
          <w:sz w:val="18"/>
          <w:szCs w:val="18"/>
          <w:lang w:val="mi-NZ"/>
        </w:rPr>
        <w:t xml:space="preserve"> </w:t>
      </w:r>
      <w:r w:rsidRPr="004D7F3D">
        <w:rPr>
          <w:rFonts w:ascii="Century Gothic" w:hAnsi="Century Gothic"/>
          <w:sz w:val="18"/>
          <w:szCs w:val="18"/>
          <w:lang w:val="mi-NZ"/>
        </w:rPr>
        <w:t>http://www.stats.govt.nz/Census/2013-census/profile-and-summary-reports/quickstats-income/personal-income-occupation.aspx</w:t>
      </w:r>
    </w:p>
  </w:footnote>
  <w:footnote w:id="15">
    <w:p w14:paraId="7B180BDB" w14:textId="72EE384C" w:rsidR="0094760F" w:rsidRPr="0065189F" w:rsidRDefault="0094760F" w:rsidP="0065189F">
      <w:pPr>
        <w:pStyle w:val="FootnoteText"/>
        <w:spacing w:line="360" w:lineRule="auto"/>
        <w:rPr>
          <w:rFonts w:ascii="Century Gothic" w:hAnsi="Century Gothic"/>
          <w:sz w:val="18"/>
          <w:szCs w:val="18"/>
          <w:lang w:val="mi-NZ"/>
        </w:rPr>
      </w:pPr>
      <w:r w:rsidRPr="004D7F3D">
        <w:rPr>
          <w:lang w:val="mi-NZ"/>
        </w:rPr>
        <w:footnoteRef/>
      </w:r>
      <w:r w:rsidRPr="004D7F3D">
        <w:rPr>
          <w:rFonts w:ascii="Century Gothic" w:hAnsi="Century Gothic"/>
          <w:sz w:val="18"/>
          <w:szCs w:val="18"/>
          <w:lang w:val="mi-NZ"/>
        </w:rPr>
        <w:t xml:space="preserve"> Occupations </w:t>
      </w:r>
      <w:r w:rsidRPr="004D7F3D">
        <w:rPr>
          <w:rFonts w:ascii="Century Gothic" w:hAnsi="Century Gothic"/>
          <w:sz w:val="18"/>
          <w:szCs w:val="18"/>
          <w:lang w:val="mi-NZ"/>
        </w:rPr>
        <w:t>reported in the census are classified according to the New Zealand Standard Classification of Occupations (ANZSCO). See: http://www.stats.govt.nz/methods/classifications-and-standards/classification-related-stats-standards/occupation.aspx</w:t>
      </w:r>
      <w:r w:rsidRPr="0065189F">
        <w:rPr>
          <w:rFonts w:ascii="Century Gothic" w:hAnsi="Century Gothic"/>
          <w:color w:val="444444"/>
          <w:sz w:val="18"/>
          <w:szCs w:val="18"/>
          <w:shd w:val="clear" w:color="auto" w:fill="FFFFFF"/>
        </w:rPr>
        <w:t> </w:t>
      </w:r>
    </w:p>
  </w:footnote>
  <w:footnote w:id="16">
    <w:p w14:paraId="54C330E3" w14:textId="07DB98AC" w:rsidR="0094760F" w:rsidRDefault="0094760F">
      <w:pPr>
        <w:pStyle w:val="FootnoteText"/>
        <w:rPr>
          <w:rFonts w:ascii="Century Gothic" w:hAnsi="Century Gothic"/>
          <w:sz w:val="18"/>
          <w:szCs w:val="18"/>
          <w:lang w:val="mi-NZ"/>
        </w:rPr>
      </w:pPr>
      <w:r w:rsidRPr="008718E5">
        <w:rPr>
          <w:rStyle w:val="FootnoteReference"/>
          <w:rFonts w:ascii="Century Gothic" w:hAnsi="Century Gothic"/>
          <w:sz w:val="18"/>
          <w:szCs w:val="18"/>
        </w:rPr>
        <w:footnoteRef/>
      </w:r>
      <w:r w:rsidRPr="008718E5">
        <w:rPr>
          <w:rFonts w:ascii="Century Gothic" w:hAnsi="Century Gothic"/>
          <w:sz w:val="18"/>
          <w:szCs w:val="18"/>
          <w:lang w:val="mi-NZ"/>
        </w:rPr>
        <w:t xml:space="preserve"> </w:t>
      </w:r>
      <w:hyperlink r:id="rId1" w:history="1">
        <w:r w:rsidRPr="00CA6189">
          <w:rPr>
            <w:rStyle w:val="Hyperlink"/>
            <w:rFonts w:ascii="Century Gothic" w:hAnsi="Century Gothic"/>
            <w:sz w:val="18"/>
            <w:szCs w:val="18"/>
            <w:lang w:val="mi-NZ"/>
          </w:rPr>
          <w:t>http://www.stats.govt.nz/Census/2013-census/info-about-2013-census-data/information-by-variable/total-income-personal-family-combined-parental-extended-family-and-household.aspx</w:t>
        </w:r>
      </w:hyperlink>
    </w:p>
    <w:p w14:paraId="1407C17A" w14:textId="77777777" w:rsidR="0094760F" w:rsidRPr="008718E5" w:rsidRDefault="0094760F">
      <w:pPr>
        <w:pStyle w:val="FootnoteText"/>
        <w:rPr>
          <w:rFonts w:ascii="Century Gothic" w:hAnsi="Century Gothic"/>
          <w:sz w:val="18"/>
          <w:szCs w:val="18"/>
          <w:lang w:val="mi-NZ"/>
        </w:rPr>
      </w:pPr>
    </w:p>
  </w:footnote>
  <w:footnote w:id="17">
    <w:p w14:paraId="09E5D787" w14:textId="01F5A7B4" w:rsidR="0094760F" w:rsidRPr="001D74F8" w:rsidRDefault="0094760F" w:rsidP="001D74F8">
      <w:pPr>
        <w:spacing w:line="360" w:lineRule="auto"/>
        <w:rPr>
          <w:rFonts w:ascii="Century Gothic" w:hAnsi="Century Gothic" w:cs="Helvetica"/>
          <w:sz w:val="18"/>
          <w:szCs w:val="18"/>
          <w:shd w:val="clear" w:color="auto" w:fill="FFFFFF"/>
        </w:rPr>
      </w:pPr>
      <w:r w:rsidRPr="008718E5">
        <w:rPr>
          <w:rStyle w:val="FootnoteReference"/>
          <w:rFonts w:ascii="Century Gothic" w:hAnsi="Century Gothic"/>
          <w:sz w:val="18"/>
          <w:szCs w:val="18"/>
        </w:rPr>
        <w:footnoteRef/>
      </w:r>
      <w:r w:rsidRPr="008718E5">
        <w:rPr>
          <w:rFonts w:ascii="Century Gothic" w:hAnsi="Century Gothic"/>
          <w:sz w:val="18"/>
          <w:szCs w:val="18"/>
        </w:rPr>
        <w:t xml:space="preserve"> </w:t>
      </w:r>
      <w:r w:rsidRPr="008718E5">
        <w:rPr>
          <w:rFonts w:ascii="Century Gothic" w:hAnsi="Century Gothic" w:cs="Helvetica"/>
          <w:sz w:val="18"/>
          <w:szCs w:val="18"/>
          <w:shd w:val="clear" w:color="auto" w:fill="FFFFFF"/>
        </w:rPr>
        <w:t xml:space="preserve">Total personal income received is the before-tax income of a person in the </w:t>
      </w:r>
      <w:r>
        <w:rPr>
          <w:rFonts w:ascii="Century Gothic" w:hAnsi="Century Gothic" w:cs="Helvetica"/>
          <w:sz w:val="18"/>
          <w:szCs w:val="18"/>
          <w:shd w:val="clear" w:color="auto" w:fill="FFFFFF"/>
        </w:rPr>
        <w:t xml:space="preserve">12 months ended 31 March 2013. </w:t>
      </w:r>
    </w:p>
  </w:footnote>
  <w:footnote w:id="18">
    <w:p w14:paraId="11D7FA70" w14:textId="5133EAF9" w:rsidR="0094760F" w:rsidRPr="001D74F8" w:rsidRDefault="0094760F" w:rsidP="001D74F8">
      <w:pPr>
        <w:pStyle w:val="FootnoteText"/>
        <w:rPr>
          <w:lang w:val="mi-NZ"/>
        </w:rPr>
      </w:pPr>
      <w:r>
        <w:rPr>
          <w:rStyle w:val="FootnoteReference"/>
        </w:rPr>
        <w:footnoteRef/>
      </w:r>
      <w:r>
        <w:t xml:space="preserve"> Within the </w:t>
      </w:r>
      <w:proofErr w:type="spellStart"/>
      <w:r>
        <w:t>Gisborne</w:t>
      </w:r>
      <w:proofErr w:type="spellEnd"/>
      <w:r>
        <w:t xml:space="preserve"> region, the 2013 median income for all males was $30,700 compared to $21,200 for women. For males the peak earning ages were 35-39 years ($43,800) and for females it was 45-49 years ($29,500).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581B"/>
    <w:multiLevelType w:val="hybridMultilevel"/>
    <w:tmpl w:val="55A86CFE"/>
    <w:lvl w:ilvl="0" w:tplc="12A0E8A2">
      <w:start w:val="1"/>
      <w:numFmt w:val="decimal"/>
      <w:lvlText w:val="%1.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
    <w:nsid w:val="029E1071"/>
    <w:multiLevelType w:val="hybridMultilevel"/>
    <w:tmpl w:val="FAFC18C6"/>
    <w:lvl w:ilvl="0" w:tplc="0890F364">
      <w:start w:val="1"/>
      <w:numFmt w:val="decimal"/>
      <w:pStyle w:val="Heading3"/>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35F7270"/>
    <w:multiLevelType w:val="hybridMultilevel"/>
    <w:tmpl w:val="EC8421CE"/>
    <w:lvl w:ilvl="0" w:tplc="CE228CD8">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A91D6B"/>
    <w:multiLevelType w:val="hybridMultilevel"/>
    <w:tmpl w:val="A33CA6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6634723"/>
    <w:multiLevelType w:val="hybridMultilevel"/>
    <w:tmpl w:val="5614ACFA"/>
    <w:lvl w:ilvl="0" w:tplc="12A0E8A2">
      <w:start w:val="1"/>
      <w:numFmt w:val="decimal"/>
      <w:lvlText w:val="%1.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5">
    <w:nsid w:val="21B67895"/>
    <w:multiLevelType w:val="hybridMultilevel"/>
    <w:tmpl w:val="67103208"/>
    <w:lvl w:ilvl="0" w:tplc="CE228CD8">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8F4E63"/>
    <w:multiLevelType w:val="multilevel"/>
    <w:tmpl w:val="F35A7552"/>
    <w:lvl w:ilvl="0">
      <w:start w:val="1"/>
      <w:numFmt w:val="decimal"/>
      <w:lvlText w:val="%1"/>
      <w:lvlJc w:val="left"/>
      <w:pPr>
        <w:ind w:left="375" w:hanging="375"/>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27DC6F20"/>
    <w:multiLevelType w:val="hybridMultilevel"/>
    <w:tmpl w:val="5DA4D6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CE91F9A"/>
    <w:multiLevelType w:val="multilevel"/>
    <w:tmpl w:val="1AEE5E98"/>
    <w:lvl w:ilvl="0">
      <w:start w:val="1"/>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3199692D"/>
    <w:multiLevelType w:val="hybridMultilevel"/>
    <w:tmpl w:val="8EFE3284"/>
    <w:lvl w:ilvl="0" w:tplc="CE228CD8">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B63659"/>
    <w:multiLevelType w:val="hybridMultilevel"/>
    <w:tmpl w:val="55A86CFE"/>
    <w:lvl w:ilvl="0" w:tplc="12A0E8A2">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3AEC40DF"/>
    <w:multiLevelType w:val="hybridMultilevel"/>
    <w:tmpl w:val="BACA52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E7F3CB3"/>
    <w:multiLevelType w:val="hybridMultilevel"/>
    <w:tmpl w:val="D026F07A"/>
    <w:lvl w:ilvl="0" w:tplc="CE228CD8">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6F4121"/>
    <w:multiLevelType w:val="hybridMultilevel"/>
    <w:tmpl w:val="8AF2119A"/>
    <w:lvl w:ilvl="0" w:tplc="CE228CD8">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A70E8B"/>
    <w:multiLevelType w:val="hybridMultilevel"/>
    <w:tmpl w:val="3A727A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423A65BF"/>
    <w:multiLevelType w:val="hybridMultilevel"/>
    <w:tmpl w:val="378E97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34A356E"/>
    <w:multiLevelType w:val="hybridMultilevel"/>
    <w:tmpl w:val="E66C68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B0711E9"/>
    <w:multiLevelType w:val="hybridMultilevel"/>
    <w:tmpl w:val="7414AD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1BE1E15"/>
    <w:multiLevelType w:val="hybridMultilevel"/>
    <w:tmpl w:val="7F5A22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2856C45"/>
    <w:multiLevelType w:val="hybridMultilevel"/>
    <w:tmpl w:val="B7D629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7617CF7"/>
    <w:multiLevelType w:val="hybridMultilevel"/>
    <w:tmpl w:val="C23288B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1">
    <w:nsid w:val="584214D7"/>
    <w:multiLevelType w:val="hybridMultilevel"/>
    <w:tmpl w:val="56AEC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FA91E3F"/>
    <w:multiLevelType w:val="hybridMultilevel"/>
    <w:tmpl w:val="657479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78C1FF3"/>
    <w:multiLevelType w:val="multilevel"/>
    <w:tmpl w:val="E2B03C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67BE42A5"/>
    <w:multiLevelType w:val="hybridMultilevel"/>
    <w:tmpl w:val="057CA71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5">
    <w:nsid w:val="6E894FFA"/>
    <w:multiLevelType w:val="hybridMultilevel"/>
    <w:tmpl w:val="C31A70A2"/>
    <w:lvl w:ilvl="0" w:tplc="CE228CD8">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B7202E"/>
    <w:multiLevelType w:val="hybridMultilevel"/>
    <w:tmpl w:val="D0527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75A022A"/>
    <w:multiLevelType w:val="hybridMultilevel"/>
    <w:tmpl w:val="5614ACFA"/>
    <w:lvl w:ilvl="0" w:tplc="12A0E8A2">
      <w:start w:val="1"/>
      <w:numFmt w:val="decimal"/>
      <w:lvlText w:val="%1.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28">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29">
    <w:nsid w:val="7C761F51"/>
    <w:multiLevelType w:val="hybridMultilevel"/>
    <w:tmpl w:val="FA8ECD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D5746BC"/>
    <w:multiLevelType w:val="hybridMultilevel"/>
    <w:tmpl w:val="A98269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28"/>
  </w:num>
  <w:num w:numId="4">
    <w:abstractNumId w:val="27"/>
  </w:num>
  <w:num w:numId="5">
    <w:abstractNumId w:val="8"/>
  </w:num>
  <w:num w:numId="6">
    <w:abstractNumId w:val="13"/>
  </w:num>
  <w:num w:numId="7">
    <w:abstractNumId w:val="5"/>
  </w:num>
  <w:num w:numId="8">
    <w:abstractNumId w:val="25"/>
  </w:num>
  <w:num w:numId="9">
    <w:abstractNumId w:val="9"/>
  </w:num>
  <w:num w:numId="10">
    <w:abstractNumId w:val="30"/>
  </w:num>
  <w:num w:numId="11">
    <w:abstractNumId w:val="2"/>
  </w:num>
  <w:num w:numId="12">
    <w:abstractNumId w:val="12"/>
  </w:num>
  <w:num w:numId="13">
    <w:abstractNumId w:val="21"/>
  </w:num>
  <w:num w:numId="14">
    <w:abstractNumId w:val="10"/>
  </w:num>
  <w:num w:numId="15">
    <w:abstractNumId w:val="0"/>
  </w:num>
  <w:num w:numId="16">
    <w:abstractNumId w:val="4"/>
  </w:num>
  <w:num w:numId="17">
    <w:abstractNumId w:val="6"/>
  </w:num>
  <w:num w:numId="18">
    <w:abstractNumId w:val="19"/>
  </w:num>
  <w:num w:numId="19">
    <w:abstractNumId w:val="16"/>
  </w:num>
  <w:num w:numId="20">
    <w:abstractNumId w:val="15"/>
  </w:num>
  <w:num w:numId="21">
    <w:abstractNumId w:val="11"/>
  </w:num>
  <w:num w:numId="22">
    <w:abstractNumId w:val="3"/>
  </w:num>
  <w:num w:numId="23">
    <w:abstractNumId w:val="17"/>
  </w:num>
  <w:num w:numId="24">
    <w:abstractNumId w:val="26"/>
  </w:num>
  <w:num w:numId="25">
    <w:abstractNumId w:val="22"/>
  </w:num>
  <w:num w:numId="26">
    <w:abstractNumId w:val="7"/>
  </w:num>
  <w:num w:numId="27">
    <w:abstractNumId w:val="18"/>
  </w:num>
  <w:num w:numId="28">
    <w:abstractNumId w:val="29"/>
  </w:num>
  <w:num w:numId="29">
    <w:abstractNumId w:val="20"/>
  </w:num>
  <w:num w:numId="30">
    <w:abstractNumId w:val="24"/>
  </w:num>
  <w:num w:numId="3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BE"/>
    <w:rsid w:val="00001021"/>
    <w:rsid w:val="00001911"/>
    <w:rsid w:val="0000331D"/>
    <w:rsid w:val="000048FF"/>
    <w:rsid w:val="00004F62"/>
    <w:rsid w:val="000073BA"/>
    <w:rsid w:val="000101FD"/>
    <w:rsid w:val="00014A43"/>
    <w:rsid w:val="0001532C"/>
    <w:rsid w:val="000202E4"/>
    <w:rsid w:val="000209AC"/>
    <w:rsid w:val="00020E82"/>
    <w:rsid w:val="000219B4"/>
    <w:rsid w:val="00021D1C"/>
    <w:rsid w:val="00021FD1"/>
    <w:rsid w:val="00025F1F"/>
    <w:rsid w:val="00026E06"/>
    <w:rsid w:val="000330E3"/>
    <w:rsid w:val="00034682"/>
    <w:rsid w:val="000374FA"/>
    <w:rsid w:val="00037E1B"/>
    <w:rsid w:val="00037EB5"/>
    <w:rsid w:val="00041016"/>
    <w:rsid w:val="0004195F"/>
    <w:rsid w:val="00041C4A"/>
    <w:rsid w:val="00042CF2"/>
    <w:rsid w:val="00043905"/>
    <w:rsid w:val="000452D5"/>
    <w:rsid w:val="00047DBD"/>
    <w:rsid w:val="00050CEE"/>
    <w:rsid w:val="000518FA"/>
    <w:rsid w:val="00052D10"/>
    <w:rsid w:val="00053DC1"/>
    <w:rsid w:val="00057236"/>
    <w:rsid w:val="00057B4E"/>
    <w:rsid w:val="0006087D"/>
    <w:rsid w:val="000608E4"/>
    <w:rsid w:val="00060F24"/>
    <w:rsid w:val="00063D92"/>
    <w:rsid w:val="000655A8"/>
    <w:rsid w:val="0006661F"/>
    <w:rsid w:val="00072A7E"/>
    <w:rsid w:val="00072F38"/>
    <w:rsid w:val="000734F4"/>
    <w:rsid w:val="00073E18"/>
    <w:rsid w:val="0007517A"/>
    <w:rsid w:val="00076C07"/>
    <w:rsid w:val="00080BA0"/>
    <w:rsid w:val="00080CCB"/>
    <w:rsid w:val="00081770"/>
    <w:rsid w:val="000818EB"/>
    <w:rsid w:val="000820C9"/>
    <w:rsid w:val="000835AB"/>
    <w:rsid w:val="00087A6F"/>
    <w:rsid w:val="000903BA"/>
    <w:rsid w:val="00090C0F"/>
    <w:rsid w:val="00095DD4"/>
    <w:rsid w:val="00095F54"/>
    <w:rsid w:val="00096525"/>
    <w:rsid w:val="000971D2"/>
    <w:rsid w:val="000A1CF5"/>
    <w:rsid w:val="000A2F9F"/>
    <w:rsid w:val="000A4019"/>
    <w:rsid w:val="000A4295"/>
    <w:rsid w:val="000A4AC5"/>
    <w:rsid w:val="000A5047"/>
    <w:rsid w:val="000A5A0F"/>
    <w:rsid w:val="000A690F"/>
    <w:rsid w:val="000A6D15"/>
    <w:rsid w:val="000B121E"/>
    <w:rsid w:val="000B2987"/>
    <w:rsid w:val="000B3F1A"/>
    <w:rsid w:val="000B4080"/>
    <w:rsid w:val="000B4D9B"/>
    <w:rsid w:val="000B5D75"/>
    <w:rsid w:val="000B5E5C"/>
    <w:rsid w:val="000B60A9"/>
    <w:rsid w:val="000B64EE"/>
    <w:rsid w:val="000B6D24"/>
    <w:rsid w:val="000B77DD"/>
    <w:rsid w:val="000C0606"/>
    <w:rsid w:val="000C072D"/>
    <w:rsid w:val="000C0FE2"/>
    <w:rsid w:val="000C271B"/>
    <w:rsid w:val="000C36D4"/>
    <w:rsid w:val="000C4975"/>
    <w:rsid w:val="000C5D5A"/>
    <w:rsid w:val="000C63FA"/>
    <w:rsid w:val="000D0527"/>
    <w:rsid w:val="000D2129"/>
    <w:rsid w:val="000D28D6"/>
    <w:rsid w:val="000D380E"/>
    <w:rsid w:val="000D43F0"/>
    <w:rsid w:val="000D4720"/>
    <w:rsid w:val="000D4993"/>
    <w:rsid w:val="000D5B23"/>
    <w:rsid w:val="000D7678"/>
    <w:rsid w:val="000D77BA"/>
    <w:rsid w:val="000E288C"/>
    <w:rsid w:val="000E2B1B"/>
    <w:rsid w:val="000E36CC"/>
    <w:rsid w:val="000E3E54"/>
    <w:rsid w:val="000E3F1D"/>
    <w:rsid w:val="000E7F08"/>
    <w:rsid w:val="000F0440"/>
    <w:rsid w:val="000F0DAE"/>
    <w:rsid w:val="000F1471"/>
    <w:rsid w:val="000F24CB"/>
    <w:rsid w:val="000F2512"/>
    <w:rsid w:val="000F3DD0"/>
    <w:rsid w:val="000F49CE"/>
    <w:rsid w:val="000F51DD"/>
    <w:rsid w:val="00101E66"/>
    <w:rsid w:val="001029FB"/>
    <w:rsid w:val="00103D57"/>
    <w:rsid w:val="0010584A"/>
    <w:rsid w:val="00105D71"/>
    <w:rsid w:val="00105D8C"/>
    <w:rsid w:val="001073D1"/>
    <w:rsid w:val="00107C5E"/>
    <w:rsid w:val="001103A8"/>
    <w:rsid w:val="00110E63"/>
    <w:rsid w:val="001125C0"/>
    <w:rsid w:val="00112C29"/>
    <w:rsid w:val="00113755"/>
    <w:rsid w:val="0011556E"/>
    <w:rsid w:val="00116305"/>
    <w:rsid w:val="001167BE"/>
    <w:rsid w:val="00116925"/>
    <w:rsid w:val="00116E4D"/>
    <w:rsid w:val="001170C4"/>
    <w:rsid w:val="00120C9A"/>
    <w:rsid w:val="001218E5"/>
    <w:rsid w:val="00122269"/>
    <w:rsid w:val="00123ACF"/>
    <w:rsid w:val="0012506C"/>
    <w:rsid w:val="00125162"/>
    <w:rsid w:val="001252C4"/>
    <w:rsid w:val="0012672A"/>
    <w:rsid w:val="00126D12"/>
    <w:rsid w:val="001304E9"/>
    <w:rsid w:val="00131B91"/>
    <w:rsid w:val="00131D2A"/>
    <w:rsid w:val="00132D36"/>
    <w:rsid w:val="001330CE"/>
    <w:rsid w:val="001340BB"/>
    <w:rsid w:val="00134D85"/>
    <w:rsid w:val="00135BF0"/>
    <w:rsid w:val="00136300"/>
    <w:rsid w:val="00136FA4"/>
    <w:rsid w:val="00137BC9"/>
    <w:rsid w:val="00140B36"/>
    <w:rsid w:val="00141E6D"/>
    <w:rsid w:val="00141F8B"/>
    <w:rsid w:val="00142B7D"/>
    <w:rsid w:val="00143659"/>
    <w:rsid w:val="00145E26"/>
    <w:rsid w:val="001462A8"/>
    <w:rsid w:val="001470A9"/>
    <w:rsid w:val="0015116E"/>
    <w:rsid w:val="001513F8"/>
    <w:rsid w:val="001520BC"/>
    <w:rsid w:val="00153C9D"/>
    <w:rsid w:val="00153D88"/>
    <w:rsid w:val="0015719F"/>
    <w:rsid w:val="00157FBA"/>
    <w:rsid w:val="00161971"/>
    <w:rsid w:val="00162F49"/>
    <w:rsid w:val="0016319E"/>
    <w:rsid w:val="00165BA1"/>
    <w:rsid w:val="00165E58"/>
    <w:rsid w:val="001666AF"/>
    <w:rsid w:val="0016721C"/>
    <w:rsid w:val="00170859"/>
    <w:rsid w:val="0017116E"/>
    <w:rsid w:val="0017143B"/>
    <w:rsid w:val="00171D7E"/>
    <w:rsid w:val="0017315F"/>
    <w:rsid w:val="00173F38"/>
    <w:rsid w:val="001742A2"/>
    <w:rsid w:val="00174BCB"/>
    <w:rsid w:val="00175192"/>
    <w:rsid w:val="001753E5"/>
    <w:rsid w:val="00176FC9"/>
    <w:rsid w:val="00177269"/>
    <w:rsid w:val="00180C9F"/>
    <w:rsid w:val="00180EF4"/>
    <w:rsid w:val="00185B1D"/>
    <w:rsid w:val="00191029"/>
    <w:rsid w:val="00193934"/>
    <w:rsid w:val="00194039"/>
    <w:rsid w:val="00194AA2"/>
    <w:rsid w:val="00195249"/>
    <w:rsid w:val="00197D8F"/>
    <w:rsid w:val="001A1370"/>
    <w:rsid w:val="001A1ABD"/>
    <w:rsid w:val="001A537E"/>
    <w:rsid w:val="001A5539"/>
    <w:rsid w:val="001A55DE"/>
    <w:rsid w:val="001B0688"/>
    <w:rsid w:val="001B0EEC"/>
    <w:rsid w:val="001B1055"/>
    <w:rsid w:val="001B2232"/>
    <w:rsid w:val="001B3030"/>
    <w:rsid w:val="001B3B51"/>
    <w:rsid w:val="001B58DA"/>
    <w:rsid w:val="001B5D34"/>
    <w:rsid w:val="001B6D7F"/>
    <w:rsid w:val="001B799A"/>
    <w:rsid w:val="001C02DB"/>
    <w:rsid w:val="001C0EDC"/>
    <w:rsid w:val="001C2F3D"/>
    <w:rsid w:val="001C38CB"/>
    <w:rsid w:val="001C4250"/>
    <w:rsid w:val="001C6732"/>
    <w:rsid w:val="001C69F9"/>
    <w:rsid w:val="001C7792"/>
    <w:rsid w:val="001C79A4"/>
    <w:rsid w:val="001D03D8"/>
    <w:rsid w:val="001D3242"/>
    <w:rsid w:val="001D4501"/>
    <w:rsid w:val="001D547F"/>
    <w:rsid w:val="001D5E29"/>
    <w:rsid w:val="001D712E"/>
    <w:rsid w:val="001D74F8"/>
    <w:rsid w:val="001D7AAB"/>
    <w:rsid w:val="001E035C"/>
    <w:rsid w:val="001E150D"/>
    <w:rsid w:val="001E1563"/>
    <w:rsid w:val="001E2CF8"/>
    <w:rsid w:val="001E310C"/>
    <w:rsid w:val="001E412B"/>
    <w:rsid w:val="001E79EA"/>
    <w:rsid w:val="001F07E8"/>
    <w:rsid w:val="001F1E4D"/>
    <w:rsid w:val="001F417B"/>
    <w:rsid w:val="001F4186"/>
    <w:rsid w:val="001F434E"/>
    <w:rsid w:val="001F4AE6"/>
    <w:rsid w:val="001F5DCB"/>
    <w:rsid w:val="001F681F"/>
    <w:rsid w:val="001F6995"/>
    <w:rsid w:val="001F71E0"/>
    <w:rsid w:val="001F7909"/>
    <w:rsid w:val="00200618"/>
    <w:rsid w:val="00200816"/>
    <w:rsid w:val="00201ADA"/>
    <w:rsid w:val="002021A9"/>
    <w:rsid w:val="0020264E"/>
    <w:rsid w:val="00202887"/>
    <w:rsid w:val="00202A81"/>
    <w:rsid w:val="0020647C"/>
    <w:rsid w:val="00206FB1"/>
    <w:rsid w:val="002070FC"/>
    <w:rsid w:val="002100F4"/>
    <w:rsid w:val="00210B73"/>
    <w:rsid w:val="002121FC"/>
    <w:rsid w:val="00212840"/>
    <w:rsid w:val="00214811"/>
    <w:rsid w:val="00215627"/>
    <w:rsid w:val="0021563B"/>
    <w:rsid w:val="00216760"/>
    <w:rsid w:val="00216D12"/>
    <w:rsid w:val="00216D96"/>
    <w:rsid w:val="00217DD1"/>
    <w:rsid w:val="002222B1"/>
    <w:rsid w:val="002223FF"/>
    <w:rsid w:val="002227AD"/>
    <w:rsid w:val="00222E30"/>
    <w:rsid w:val="002236E1"/>
    <w:rsid w:val="002237FD"/>
    <w:rsid w:val="00224D9D"/>
    <w:rsid w:val="00225661"/>
    <w:rsid w:val="00225ED4"/>
    <w:rsid w:val="00226096"/>
    <w:rsid w:val="00226605"/>
    <w:rsid w:val="002268D2"/>
    <w:rsid w:val="00226A7D"/>
    <w:rsid w:val="0022722F"/>
    <w:rsid w:val="00227E83"/>
    <w:rsid w:val="00232060"/>
    <w:rsid w:val="00233365"/>
    <w:rsid w:val="00233428"/>
    <w:rsid w:val="002335B6"/>
    <w:rsid w:val="00233979"/>
    <w:rsid w:val="00233B38"/>
    <w:rsid w:val="00234FB8"/>
    <w:rsid w:val="00235145"/>
    <w:rsid w:val="002370C8"/>
    <w:rsid w:val="00240834"/>
    <w:rsid w:val="0024238E"/>
    <w:rsid w:val="0024365C"/>
    <w:rsid w:val="0024454B"/>
    <w:rsid w:val="00245FA7"/>
    <w:rsid w:val="00250E57"/>
    <w:rsid w:val="00251989"/>
    <w:rsid w:val="00252C30"/>
    <w:rsid w:val="00257BB4"/>
    <w:rsid w:val="00261B52"/>
    <w:rsid w:val="00262E9A"/>
    <w:rsid w:val="00263AD6"/>
    <w:rsid w:val="0026612E"/>
    <w:rsid w:val="0026620D"/>
    <w:rsid w:val="002663B3"/>
    <w:rsid w:val="00267C19"/>
    <w:rsid w:val="00271931"/>
    <w:rsid w:val="002719B0"/>
    <w:rsid w:val="00271F7B"/>
    <w:rsid w:val="00272023"/>
    <w:rsid w:val="00272C93"/>
    <w:rsid w:val="0027456C"/>
    <w:rsid w:val="00274D0C"/>
    <w:rsid w:val="002774AA"/>
    <w:rsid w:val="00277850"/>
    <w:rsid w:val="002810CD"/>
    <w:rsid w:val="00281971"/>
    <w:rsid w:val="00281985"/>
    <w:rsid w:val="00281E6D"/>
    <w:rsid w:val="00283430"/>
    <w:rsid w:val="00284BA2"/>
    <w:rsid w:val="00285E31"/>
    <w:rsid w:val="00287601"/>
    <w:rsid w:val="00287E7F"/>
    <w:rsid w:val="00290698"/>
    <w:rsid w:val="00291418"/>
    <w:rsid w:val="00291A56"/>
    <w:rsid w:val="00292675"/>
    <w:rsid w:val="00292A28"/>
    <w:rsid w:val="00293C83"/>
    <w:rsid w:val="00293E94"/>
    <w:rsid w:val="00293EC0"/>
    <w:rsid w:val="0029598A"/>
    <w:rsid w:val="00295CF8"/>
    <w:rsid w:val="00295D9E"/>
    <w:rsid w:val="00296434"/>
    <w:rsid w:val="00296534"/>
    <w:rsid w:val="00297DA4"/>
    <w:rsid w:val="002A0331"/>
    <w:rsid w:val="002A07ED"/>
    <w:rsid w:val="002A1C29"/>
    <w:rsid w:val="002A4818"/>
    <w:rsid w:val="002A6178"/>
    <w:rsid w:val="002A6A0B"/>
    <w:rsid w:val="002B095D"/>
    <w:rsid w:val="002B1C57"/>
    <w:rsid w:val="002B2225"/>
    <w:rsid w:val="002B27B8"/>
    <w:rsid w:val="002B2A85"/>
    <w:rsid w:val="002B3404"/>
    <w:rsid w:val="002B34AF"/>
    <w:rsid w:val="002B4DB8"/>
    <w:rsid w:val="002B65DA"/>
    <w:rsid w:val="002B6D2A"/>
    <w:rsid w:val="002C0D97"/>
    <w:rsid w:val="002C495A"/>
    <w:rsid w:val="002C77A1"/>
    <w:rsid w:val="002D0F5B"/>
    <w:rsid w:val="002D14CC"/>
    <w:rsid w:val="002D1F3E"/>
    <w:rsid w:val="002D2633"/>
    <w:rsid w:val="002D3AED"/>
    <w:rsid w:val="002D7175"/>
    <w:rsid w:val="002D7AB5"/>
    <w:rsid w:val="002E0A92"/>
    <w:rsid w:val="002E11B8"/>
    <w:rsid w:val="002E2663"/>
    <w:rsid w:val="002E3E0F"/>
    <w:rsid w:val="002E3E24"/>
    <w:rsid w:val="002E4683"/>
    <w:rsid w:val="002F1D8B"/>
    <w:rsid w:val="002F285B"/>
    <w:rsid w:val="002F5587"/>
    <w:rsid w:val="002F77B9"/>
    <w:rsid w:val="00300641"/>
    <w:rsid w:val="003010E6"/>
    <w:rsid w:val="003020BD"/>
    <w:rsid w:val="00302982"/>
    <w:rsid w:val="00304FE1"/>
    <w:rsid w:val="00307CA2"/>
    <w:rsid w:val="00311376"/>
    <w:rsid w:val="003113B6"/>
    <w:rsid w:val="00311D48"/>
    <w:rsid w:val="00313CAB"/>
    <w:rsid w:val="003156DB"/>
    <w:rsid w:val="00315D88"/>
    <w:rsid w:val="00317ECE"/>
    <w:rsid w:val="0032021D"/>
    <w:rsid w:val="00321FD7"/>
    <w:rsid w:val="00323627"/>
    <w:rsid w:val="00323802"/>
    <w:rsid w:val="00324FFA"/>
    <w:rsid w:val="00325082"/>
    <w:rsid w:val="00325E7A"/>
    <w:rsid w:val="00327FA2"/>
    <w:rsid w:val="0033067E"/>
    <w:rsid w:val="00331C0D"/>
    <w:rsid w:val="00331DA9"/>
    <w:rsid w:val="00331FF2"/>
    <w:rsid w:val="0033211E"/>
    <w:rsid w:val="0033288C"/>
    <w:rsid w:val="0033347B"/>
    <w:rsid w:val="00333EAC"/>
    <w:rsid w:val="00335A53"/>
    <w:rsid w:val="00337D47"/>
    <w:rsid w:val="0034071C"/>
    <w:rsid w:val="00341A24"/>
    <w:rsid w:val="0034249C"/>
    <w:rsid w:val="00342722"/>
    <w:rsid w:val="0034341C"/>
    <w:rsid w:val="00346210"/>
    <w:rsid w:val="0034739C"/>
    <w:rsid w:val="00350453"/>
    <w:rsid w:val="00350B8E"/>
    <w:rsid w:val="003532A6"/>
    <w:rsid w:val="00355D21"/>
    <w:rsid w:val="00356CFA"/>
    <w:rsid w:val="0035724E"/>
    <w:rsid w:val="003579AA"/>
    <w:rsid w:val="003607B0"/>
    <w:rsid w:val="00360EC6"/>
    <w:rsid w:val="00362AA6"/>
    <w:rsid w:val="00362AD7"/>
    <w:rsid w:val="00364605"/>
    <w:rsid w:val="00365568"/>
    <w:rsid w:val="00366EF9"/>
    <w:rsid w:val="003706A6"/>
    <w:rsid w:val="00370CDC"/>
    <w:rsid w:val="003733BC"/>
    <w:rsid w:val="00374157"/>
    <w:rsid w:val="003750EF"/>
    <w:rsid w:val="00377427"/>
    <w:rsid w:val="003806EF"/>
    <w:rsid w:val="00383FBA"/>
    <w:rsid w:val="00384E99"/>
    <w:rsid w:val="00385840"/>
    <w:rsid w:val="00385E48"/>
    <w:rsid w:val="00386431"/>
    <w:rsid w:val="003874E9"/>
    <w:rsid w:val="0038778C"/>
    <w:rsid w:val="00387802"/>
    <w:rsid w:val="00392065"/>
    <w:rsid w:val="00393068"/>
    <w:rsid w:val="00394292"/>
    <w:rsid w:val="00395D02"/>
    <w:rsid w:val="003964D8"/>
    <w:rsid w:val="003A50BC"/>
    <w:rsid w:val="003A527C"/>
    <w:rsid w:val="003A747D"/>
    <w:rsid w:val="003A78EB"/>
    <w:rsid w:val="003B0B67"/>
    <w:rsid w:val="003B14DE"/>
    <w:rsid w:val="003B23EA"/>
    <w:rsid w:val="003B3916"/>
    <w:rsid w:val="003B3A9B"/>
    <w:rsid w:val="003B4B14"/>
    <w:rsid w:val="003B5DB3"/>
    <w:rsid w:val="003B61D0"/>
    <w:rsid w:val="003B7D90"/>
    <w:rsid w:val="003C23AC"/>
    <w:rsid w:val="003C4F18"/>
    <w:rsid w:val="003C7B49"/>
    <w:rsid w:val="003D0457"/>
    <w:rsid w:val="003D3BD4"/>
    <w:rsid w:val="003D4307"/>
    <w:rsid w:val="003D4977"/>
    <w:rsid w:val="003D7A0D"/>
    <w:rsid w:val="003D7F9E"/>
    <w:rsid w:val="003E1F1B"/>
    <w:rsid w:val="003E4724"/>
    <w:rsid w:val="003E49C7"/>
    <w:rsid w:val="003E52F6"/>
    <w:rsid w:val="003E5E80"/>
    <w:rsid w:val="003E7601"/>
    <w:rsid w:val="003F0917"/>
    <w:rsid w:val="003F14EA"/>
    <w:rsid w:val="003F177E"/>
    <w:rsid w:val="003F29CE"/>
    <w:rsid w:val="003F2C0A"/>
    <w:rsid w:val="003F3033"/>
    <w:rsid w:val="003F361C"/>
    <w:rsid w:val="003F424F"/>
    <w:rsid w:val="003F4DA6"/>
    <w:rsid w:val="003F56D3"/>
    <w:rsid w:val="003F5CC8"/>
    <w:rsid w:val="003F7AE9"/>
    <w:rsid w:val="003F7B9A"/>
    <w:rsid w:val="00400434"/>
    <w:rsid w:val="004029CF"/>
    <w:rsid w:val="00404396"/>
    <w:rsid w:val="00404C54"/>
    <w:rsid w:val="0040795C"/>
    <w:rsid w:val="00407F07"/>
    <w:rsid w:val="004112BA"/>
    <w:rsid w:val="004119A1"/>
    <w:rsid w:val="00411D4C"/>
    <w:rsid w:val="00411DBB"/>
    <w:rsid w:val="0041256D"/>
    <w:rsid w:val="00412703"/>
    <w:rsid w:val="004136B8"/>
    <w:rsid w:val="004146B8"/>
    <w:rsid w:val="00414CC0"/>
    <w:rsid w:val="004154F7"/>
    <w:rsid w:val="004168AB"/>
    <w:rsid w:val="004177ED"/>
    <w:rsid w:val="004213A2"/>
    <w:rsid w:val="004272A7"/>
    <w:rsid w:val="004312B2"/>
    <w:rsid w:val="004313F5"/>
    <w:rsid w:val="00431BE5"/>
    <w:rsid w:val="00432583"/>
    <w:rsid w:val="00432A7D"/>
    <w:rsid w:val="00432EF9"/>
    <w:rsid w:val="00433D70"/>
    <w:rsid w:val="004348D7"/>
    <w:rsid w:val="00434B79"/>
    <w:rsid w:val="0043610D"/>
    <w:rsid w:val="004370CE"/>
    <w:rsid w:val="00437F28"/>
    <w:rsid w:val="00440C66"/>
    <w:rsid w:val="004412CE"/>
    <w:rsid w:val="00441BDE"/>
    <w:rsid w:val="00442D5C"/>
    <w:rsid w:val="0044470F"/>
    <w:rsid w:val="004459B8"/>
    <w:rsid w:val="00445D61"/>
    <w:rsid w:val="00446B97"/>
    <w:rsid w:val="00450191"/>
    <w:rsid w:val="00450D77"/>
    <w:rsid w:val="0045212C"/>
    <w:rsid w:val="00452625"/>
    <w:rsid w:val="00452ACC"/>
    <w:rsid w:val="00454E90"/>
    <w:rsid w:val="00455806"/>
    <w:rsid w:val="00455FC6"/>
    <w:rsid w:val="00457562"/>
    <w:rsid w:val="00457CAC"/>
    <w:rsid w:val="004607F0"/>
    <w:rsid w:val="00461820"/>
    <w:rsid w:val="00461DD6"/>
    <w:rsid w:val="0046226E"/>
    <w:rsid w:val="00464F3C"/>
    <w:rsid w:val="004663B5"/>
    <w:rsid w:val="00466472"/>
    <w:rsid w:val="004671F7"/>
    <w:rsid w:val="0047060A"/>
    <w:rsid w:val="00470DA9"/>
    <w:rsid w:val="00472CCC"/>
    <w:rsid w:val="004756F5"/>
    <w:rsid w:val="0047664D"/>
    <w:rsid w:val="00477BBC"/>
    <w:rsid w:val="00480CC3"/>
    <w:rsid w:val="00482514"/>
    <w:rsid w:val="00482568"/>
    <w:rsid w:val="00482908"/>
    <w:rsid w:val="00483F49"/>
    <w:rsid w:val="00487B72"/>
    <w:rsid w:val="00490F97"/>
    <w:rsid w:val="00493B38"/>
    <w:rsid w:val="0049467F"/>
    <w:rsid w:val="00494B97"/>
    <w:rsid w:val="00495069"/>
    <w:rsid w:val="004963FC"/>
    <w:rsid w:val="00496546"/>
    <w:rsid w:val="00496961"/>
    <w:rsid w:val="004A1807"/>
    <w:rsid w:val="004A32BC"/>
    <w:rsid w:val="004A3503"/>
    <w:rsid w:val="004A3AF9"/>
    <w:rsid w:val="004A4577"/>
    <w:rsid w:val="004A4F7A"/>
    <w:rsid w:val="004A5724"/>
    <w:rsid w:val="004A5DFD"/>
    <w:rsid w:val="004A700E"/>
    <w:rsid w:val="004A731C"/>
    <w:rsid w:val="004B37C4"/>
    <w:rsid w:val="004B4247"/>
    <w:rsid w:val="004B73C8"/>
    <w:rsid w:val="004C270E"/>
    <w:rsid w:val="004C429C"/>
    <w:rsid w:val="004C6446"/>
    <w:rsid w:val="004C71F3"/>
    <w:rsid w:val="004D058B"/>
    <w:rsid w:val="004D118D"/>
    <w:rsid w:val="004D26BE"/>
    <w:rsid w:val="004D5B40"/>
    <w:rsid w:val="004D5FB7"/>
    <w:rsid w:val="004D7955"/>
    <w:rsid w:val="004D7D88"/>
    <w:rsid w:val="004D7F3D"/>
    <w:rsid w:val="004E0A80"/>
    <w:rsid w:val="004E1093"/>
    <w:rsid w:val="004E1B76"/>
    <w:rsid w:val="004E1FEA"/>
    <w:rsid w:val="004E2745"/>
    <w:rsid w:val="004E6032"/>
    <w:rsid w:val="004E6706"/>
    <w:rsid w:val="004E7199"/>
    <w:rsid w:val="004E76F2"/>
    <w:rsid w:val="004E7A5C"/>
    <w:rsid w:val="004F0754"/>
    <w:rsid w:val="004F1C91"/>
    <w:rsid w:val="004F3B9B"/>
    <w:rsid w:val="004F4962"/>
    <w:rsid w:val="004F4999"/>
    <w:rsid w:val="004F70A1"/>
    <w:rsid w:val="004F7917"/>
    <w:rsid w:val="005005DC"/>
    <w:rsid w:val="00500ABE"/>
    <w:rsid w:val="00504453"/>
    <w:rsid w:val="00504A51"/>
    <w:rsid w:val="00504DEE"/>
    <w:rsid w:val="0051148E"/>
    <w:rsid w:val="0051164A"/>
    <w:rsid w:val="00514292"/>
    <w:rsid w:val="00514A63"/>
    <w:rsid w:val="00515234"/>
    <w:rsid w:val="00515497"/>
    <w:rsid w:val="005163A4"/>
    <w:rsid w:val="00516C61"/>
    <w:rsid w:val="00517711"/>
    <w:rsid w:val="005213DA"/>
    <w:rsid w:val="00521A4D"/>
    <w:rsid w:val="005225F0"/>
    <w:rsid w:val="0052288D"/>
    <w:rsid w:val="00522DFA"/>
    <w:rsid w:val="005234B0"/>
    <w:rsid w:val="00526259"/>
    <w:rsid w:val="00527449"/>
    <w:rsid w:val="00531883"/>
    <w:rsid w:val="00533B4A"/>
    <w:rsid w:val="0053454F"/>
    <w:rsid w:val="005376A0"/>
    <w:rsid w:val="00540833"/>
    <w:rsid w:val="00541065"/>
    <w:rsid w:val="005410E0"/>
    <w:rsid w:val="00541154"/>
    <w:rsid w:val="0054116B"/>
    <w:rsid w:val="00543D61"/>
    <w:rsid w:val="00544FB8"/>
    <w:rsid w:val="00545BA2"/>
    <w:rsid w:val="00546B1C"/>
    <w:rsid w:val="00546D48"/>
    <w:rsid w:val="00546DE1"/>
    <w:rsid w:val="00547023"/>
    <w:rsid w:val="005471A6"/>
    <w:rsid w:val="005475CA"/>
    <w:rsid w:val="00547FE2"/>
    <w:rsid w:val="005501E8"/>
    <w:rsid w:val="0055181A"/>
    <w:rsid w:val="00551DDA"/>
    <w:rsid w:val="005522C3"/>
    <w:rsid w:val="0055241E"/>
    <w:rsid w:val="00552BED"/>
    <w:rsid w:val="00556EA7"/>
    <w:rsid w:val="00560C32"/>
    <w:rsid w:val="00560D51"/>
    <w:rsid w:val="00560DB1"/>
    <w:rsid w:val="00561741"/>
    <w:rsid w:val="00561812"/>
    <w:rsid w:val="005627A2"/>
    <w:rsid w:val="00562869"/>
    <w:rsid w:val="005636B1"/>
    <w:rsid w:val="00563C6B"/>
    <w:rsid w:val="00564714"/>
    <w:rsid w:val="005663DB"/>
    <w:rsid w:val="005678E2"/>
    <w:rsid w:val="00570891"/>
    <w:rsid w:val="00571139"/>
    <w:rsid w:val="00576312"/>
    <w:rsid w:val="0057643F"/>
    <w:rsid w:val="00576B10"/>
    <w:rsid w:val="00577AD0"/>
    <w:rsid w:val="0058040A"/>
    <w:rsid w:val="005815D0"/>
    <w:rsid w:val="00581B0B"/>
    <w:rsid w:val="00581FAB"/>
    <w:rsid w:val="0058200D"/>
    <w:rsid w:val="00582424"/>
    <w:rsid w:val="00583865"/>
    <w:rsid w:val="00584AD1"/>
    <w:rsid w:val="0058513D"/>
    <w:rsid w:val="0058608C"/>
    <w:rsid w:val="005864D2"/>
    <w:rsid w:val="00586C14"/>
    <w:rsid w:val="0058737C"/>
    <w:rsid w:val="00587975"/>
    <w:rsid w:val="00587F3D"/>
    <w:rsid w:val="00590347"/>
    <w:rsid w:val="00590F31"/>
    <w:rsid w:val="00593AEB"/>
    <w:rsid w:val="00594AF2"/>
    <w:rsid w:val="005954BF"/>
    <w:rsid w:val="0059587F"/>
    <w:rsid w:val="005971A1"/>
    <w:rsid w:val="00597A72"/>
    <w:rsid w:val="005A091B"/>
    <w:rsid w:val="005A0F5A"/>
    <w:rsid w:val="005A10DB"/>
    <w:rsid w:val="005A1CB5"/>
    <w:rsid w:val="005A3BEE"/>
    <w:rsid w:val="005A4DF0"/>
    <w:rsid w:val="005A5547"/>
    <w:rsid w:val="005A565E"/>
    <w:rsid w:val="005A745C"/>
    <w:rsid w:val="005A74F6"/>
    <w:rsid w:val="005B3BC8"/>
    <w:rsid w:val="005B48B7"/>
    <w:rsid w:val="005B50BA"/>
    <w:rsid w:val="005B5857"/>
    <w:rsid w:val="005B598B"/>
    <w:rsid w:val="005B6F7C"/>
    <w:rsid w:val="005B71B9"/>
    <w:rsid w:val="005C04BB"/>
    <w:rsid w:val="005C07EF"/>
    <w:rsid w:val="005C16A1"/>
    <w:rsid w:val="005C31B6"/>
    <w:rsid w:val="005C33C3"/>
    <w:rsid w:val="005C3E10"/>
    <w:rsid w:val="005C6188"/>
    <w:rsid w:val="005C6363"/>
    <w:rsid w:val="005D0869"/>
    <w:rsid w:val="005D0E05"/>
    <w:rsid w:val="005D61F6"/>
    <w:rsid w:val="005D767C"/>
    <w:rsid w:val="005E0439"/>
    <w:rsid w:val="005E123E"/>
    <w:rsid w:val="005E1860"/>
    <w:rsid w:val="005E1FD6"/>
    <w:rsid w:val="005E23B7"/>
    <w:rsid w:val="005E37AE"/>
    <w:rsid w:val="005E49C0"/>
    <w:rsid w:val="005E73A0"/>
    <w:rsid w:val="005F13CB"/>
    <w:rsid w:val="005F335C"/>
    <w:rsid w:val="005F43DA"/>
    <w:rsid w:val="005F5BDD"/>
    <w:rsid w:val="005F5DD3"/>
    <w:rsid w:val="005F67FB"/>
    <w:rsid w:val="005F6E79"/>
    <w:rsid w:val="005F7611"/>
    <w:rsid w:val="00600102"/>
    <w:rsid w:val="006001B0"/>
    <w:rsid w:val="006019FE"/>
    <w:rsid w:val="0060295A"/>
    <w:rsid w:val="006052B7"/>
    <w:rsid w:val="00605922"/>
    <w:rsid w:val="00610110"/>
    <w:rsid w:val="00610708"/>
    <w:rsid w:val="006116C6"/>
    <w:rsid w:val="006153C4"/>
    <w:rsid w:val="00616097"/>
    <w:rsid w:val="006175E0"/>
    <w:rsid w:val="00617941"/>
    <w:rsid w:val="00620690"/>
    <w:rsid w:val="006208B8"/>
    <w:rsid w:val="00620EE7"/>
    <w:rsid w:val="006218F6"/>
    <w:rsid w:val="00622E3C"/>
    <w:rsid w:val="00622E8E"/>
    <w:rsid w:val="00623A53"/>
    <w:rsid w:val="00623F25"/>
    <w:rsid w:val="0062420F"/>
    <w:rsid w:val="006246A6"/>
    <w:rsid w:val="0062575E"/>
    <w:rsid w:val="0062786B"/>
    <w:rsid w:val="0063014A"/>
    <w:rsid w:val="006313D6"/>
    <w:rsid w:val="00632382"/>
    <w:rsid w:val="006335DA"/>
    <w:rsid w:val="00635B2F"/>
    <w:rsid w:val="006422DF"/>
    <w:rsid w:val="0064338F"/>
    <w:rsid w:val="00643C00"/>
    <w:rsid w:val="00644114"/>
    <w:rsid w:val="006451FE"/>
    <w:rsid w:val="0065049E"/>
    <w:rsid w:val="00650C84"/>
    <w:rsid w:val="0065189F"/>
    <w:rsid w:val="00653D47"/>
    <w:rsid w:val="006563C7"/>
    <w:rsid w:val="00657576"/>
    <w:rsid w:val="006608E5"/>
    <w:rsid w:val="00660ACF"/>
    <w:rsid w:val="00663A18"/>
    <w:rsid w:val="00664286"/>
    <w:rsid w:val="00665C04"/>
    <w:rsid w:val="00666568"/>
    <w:rsid w:val="00667422"/>
    <w:rsid w:val="00671ED9"/>
    <w:rsid w:val="00672267"/>
    <w:rsid w:val="00673367"/>
    <w:rsid w:val="00673AF3"/>
    <w:rsid w:val="006740B4"/>
    <w:rsid w:val="006745E0"/>
    <w:rsid w:val="00674A10"/>
    <w:rsid w:val="00674AFA"/>
    <w:rsid w:val="00675872"/>
    <w:rsid w:val="006761CD"/>
    <w:rsid w:val="006767F7"/>
    <w:rsid w:val="00676C93"/>
    <w:rsid w:val="00677217"/>
    <w:rsid w:val="00677AF5"/>
    <w:rsid w:val="00681DB2"/>
    <w:rsid w:val="00683551"/>
    <w:rsid w:val="0068436F"/>
    <w:rsid w:val="00686551"/>
    <w:rsid w:val="006865AE"/>
    <w:rsid w:val="00687796"/>
    <w:rsid w:val="006900A0"/>
    <w:rsid w:val="00690ECB"/>
    <w:rsid w:val="00691385"/>
    <w:rsid w:val="006920DF"/>
    <w:rsid w:val="00695ADA"/>
    <w:rsid w:val="00696043"/>
    <w:rsid w:val="00696671"/>
    <w:rsid w:val="00697BC0"/>
    <w:rsid w:val="00697D6F"/>
    <w:rsid w:val="006A08A9"/>
    <w:rsid w:val="006A09A2"/>
    <w:rsid w:val="006A1097"/>
    <w:rsid w:val="006A23C7"/>
    <w:rsid w:val="006A2C8B"/>
    <w:rsid w:val="006A2EBE"/>
    <w:rsid w:val="006A30B2"/>
    <w:rsid w:val="006A30F9"/>
    <w:rsid w:val="006A3A3C"/>
    <w:rsid w:val="006A3C29"/>
    <w:rsid w:val="006A4A87"/>
    <w:rsid w:val="006A61BB"/>
    <w:rsid w:val="006A65F8"/>
    <w:rsid w:val="006B254E"/>
    <w:rsid w:val="006B335A"/>
    <w:rsid w:val="006B4157"/>
    <w:rsid w:val="006B45D5"/>
    <w:rsid w:val="006B591B"/>
    <w:rsid w:val="006B61D8"/>
    <w:rsid w:val="006B66DB"/>
    <w:rsid w:val="006C0FEC"/>
    <w:rsid w:val="006C1E48"/>
    <w:rsid w:val="006C38C6"/>
    <w:rsid w:val="006C511A"/>
    <w:rsid w:val="006C5630"/>
    <w:rsid w:val="006C7EB2"/>
    <w:rsid w:val="006D0699"/>
    <w:rsid w:val="006D1C5F"/>
    <w:rsid w:val="006D2C93"/>
    <w:rsid w:val="006D48BA"/>
    <w:rsid w:val="006D4D5C"/>
    <w:rsid w:val="006D6D49"/>
    <w:rsid w:val="006E0028"/>
    <w:rsid w:val="006E0038"/>
    <w:rsid w:val="006E059A"/>
    <w:rsid w:val="006E1A4C"/>
    <w:rsid w:val="006E1C56"/>
    <w:rsid w:val="006E2B60"/>
    <w:rsid w:val="006E421F"/>
    <w:rsid w:val="006E6EE1"/>
    <w:rsid w:val="006E740E"/>
    <w:rsid w:val="006F01A3"/>
    <w:rsid w:val="006F2C03"/>
    <w:rsid w:val="006F41CD"/>
    <w:rsid w:val="006F4A54"/>
    <w:rsid w:val="006F4ED6"/>
    <w:rsid w:val="006F6045"/>
    <w:rsid w:val="006F60DE"/>
    <w:rsid w:val="006F67E1"/>
    <w:rsid w:val="006F78EB"/>
    <w:rsid w:val="0070155C"/>
    <w:rsid w:val="007016BE"/>
    <w:rsid w:val="00701E64"/>
    <w:rsid w:val="007057A1"/>
    <w:rsid w:val="007066D6"/>
    <w:rsid w:val="007068C1"/>
    <w:rsid w:val="00706A3D"/>
    <w:rsid w:val="0070733E"/>
    <w:rsid w:val="00707379"/>
    <w:rsid w:val="007079A1"/>
    <w:rsid w:val="00710A66"/>
    <w:rsid w:val="00711801"/>
    <w:rsid w:val="00711F45"/>
    <w:rsid w:val="00713647"/>
    <w:rsid w:val="00713B08"/>
    <w:rsid w:val="007148A9"/>
    <w:rsid w:val="00714B2E"/>
    <w:rsid w:val="00715751"/>
    <w:rsid w:val="00724695"/>
    <w:rsid w:val="0072562B"/>
    <w:rsid w:val="00730C15"/>
    <w:rsid w:val="007320E8"/>
    <w:rsid w:val="0073214C"/>
    <w:rsid w:val="00734050"/>
    <w:rsid w:val="00736E9F"/>
    <w:rsid w:val="00740252"/>
    <w:rsid w:val="00741D1E"/>
    <w:rsid w:val="0074462B"/>
    <w:rsid w:val="00744830"/>
    <w:rsid w:val="007453AB"/>
    <w:rsid w:val="00745CF4"/>
    <w:rsid w:val="00746471"/>
    <w:rsid w:val="007476CE"/>
    <w:rsid w:val="00750A5C"/>
    <w:rsid w:val="007551B7"/>
    <w:rsid w:val="00755B70"/>
    <w:rsid w:val="007575DF"/>
    <w:rsid w:val="0075773C"/>
    <w:rsid w:val="00757C51"/>
    <w:rsid w:val="00761D31"/>
    <w:rsid w:val="0076200D"/>
    <w:rsid w:val="00762DCB"/>
    <w:rsid w:val="00762E54"/>
    <w:rsid w:val="00762E9D"/>
    <w:rsid w:val="00763274"/>
    <w:rsid w:val="00765972"/>
    <w:rsid w:val="00767282"/>
    <w:rsid w:val="00770D46"/>
    <w:rsid w:val="00771C80"/>
    <w:rsid w:val="00772477"/>
    <w:rsid w:val="00773A30"/>
    <w:rsid w:val="00773DC9"/>
    <w:rsid w:val="007745A2"/>
    <w:rsid w:val="00775F56"/>
    <w:rsid w:val="007771B3"/>
    <w:rsid w:val="00777C8A"/>
    <w:rsid w:val="00784E7C"/>
    <w:rsid w:val="00786366"/>
    <w:rsid w:val="007902CB"/>
    <w:rsid w:val="007915F1"/>
    <w:rsid w:val="0079235D"/>
    <w:rsid w:val="007928B6"/>
    <w:rsid w:val="00792BAE"/>
    <w:rsid w:val="007939CB"/>
    <w:rsid w:val="0079415C"/>
    <w:rsid w:val="00794CF8"/>
    <w:rsid w:val="007958E8"/>
    <w:rsid w:val="00796654"/>
    <w:rsid w:val="00797132"/>
    <w:rsid w:val="0079722A"/>
    <w:rsid w:val="007A111B"/>
    <w:rsid w:val="007A229D"/>
    <w:rsid w:val="007A2674"/>
    <w:rsid w:val="007A2C28"/>
    <w:rsid w:val="007A34A1"/>
    <w:rsid w:val="007A495E"/>
    <w:rsid w:val="007A4E84"/>
    <w:rsid w:val="007A5CC5"/>
    <w:rsid w:val="007A7968"/>
    <w:rsid w:val="007B0BB6"/>
    <w:rsid w:val="007B1BD8"/>
    <w:rsid w:val="007B205F"/>
    <w:rsid w:val="007B4AA9"/>
    <w:rsid w:val="007B4AFD"/>
    <w:rsid w:val="007B4D37"/>
    <w:rsid w:val="007B535D"/>
    <w:rsid w:val="007B5AEF"/>
    <w:rsid w:val="007B5DF7"/>
    <w:rsid w:val="007C020C"/>
    <w:rsid w:val="007C052C"/>
    <w:rsid w:val="007C10B6"/>
    <w:rsid w:val="007C212D"/>
    <w:rsid w:val="007C2F6D"/>
    <w:rsid w:val="007C4982"/>
    <w:rsid w:val="007C4F42"/>
    <w:rsid w:val="007C5137"/>
    <w:rsid w:val="007C66E8"/>
    <w:rsid w:val="007C7E15"/>
    <w:rsid w:val="007D3A53"/>
    <w:rsid w:val="007D5E76"/>
    <w:rsid w:val="007D68A3"/>
    <w:rsid w:val="007D7E2B"/>
    <w:rsid w:val="007E07CF"/>
    <w:rsid w:val="007E0C1F"/>
    <w:rsid w:val="007E141E"/>
    <w:rsid w:val="007E2D90"/>
    <w:rsid w:val="007E2EE1"/>
    <w:rsid w:val="007E34A4"/>
    <w:rsid w:val="007E6F08"/>
    <w:rsid w:val="007F0582"/>
    <w:rsid w:val="007F1242"/>
    <w:rsid w:val="007F26ED"/>
    <w:rsid w:val="007F3B28"/>
    <w:rsid w:val="007F462B"/>
    <w:rsid w:val="007F4712"/>
    <w:rsid w:val="007F4DFA"/>
    <w:rsid w:val="007F5458"/>
    <w:rsid w:val="007F57E3"/>
    <w:rsid w:val="007F5AC9"/>
    <w:rsid w:val="007F68E8"/>
    <w:rsid w:val="007F6B0C"/>
    <w:rsid w:val="00800906"/>
    <w:rsid w:val="0080193E"/>
    <w:rsid w:val="00805322"/>
    <w:rsid w:val="008057D7"/>
    <w:rsid w:val="008058CF"/>
    <w:rsid w:val="0081017E"/>
    <w:rsid w:val="00811CFC"/>
    <w:rsid w:val="0081218F"/>
    <w:rsid w:val="008139D9"/>
    <w:rsid w:val="00814441"/>
    <w:rsid w:val="008175E6"/>
    <w:rsid w:val="0081772F"/>
    <w:rsid w:val="00817884"/>
    <w:rsid w:val="00817E5F"/>
    <w:rsid w:val="008200DF"/>
    <w:rsid w:val="008202B0"/>
    <w:rsid w:val="008210C6"/>
    <w:rsid w:val="008218EA"/>
    <w:rsid w:val="00823E26"/>
    <w:rsid w:val="00824057"/>
    <w:rsid w:val="008252B1"/>
    <w:rsid w:val="0082604C"/>
    <w:rsid w:val="0083068B"/>
    <w:rsid w:val="0083185C"/>
    <w:rsid w:val="00834E0B"/>
    <w:rsid w:val="00835A34"/>
    <w:rsid w:val="008363B3"/>
    <w:rsid w:val="00837846"/>
    <w:rsid w:val="00840DE3"/>
    <w:rsid w:val="00842426"/>
    <w:rsid w:val="0084296C"/>
    <w:rsid w:val="008429F5"/>
    <w:rsid w:val="00842E08"/>
    <w:rsid w:val="00843311"/>
    <w:rsid w:val="0084333C"/>
    <w:rsid w:val="00844579"/>
    <w:rsid w:val="00845785"/>
    <w:rsid w:val="00847B43"/>
    <w:rsid w:val="008513D3"/>
    <w:rsid w:val="008533F5"/>
    <w:rsid w:val="00853FA1"/>
    <w:rsid w:val="008544E6"/>
    <w:rsid w:val="00854754"/>
    <w:rsid w:val="0085488C"/>
    <w:rsid w:val="0085497F"/>
    <w:rsid w:val="00855DA1"/>
    <w:rsid w:val="008574B5"/>
    <w:rsid w:val="0085791A"/>
    <w:rsid w:val="00861626"/>
    <w:rsid w:val="00862581"/>
    <w:rsid w:val="00862EE4"/>
    <w:rsid w:val="008639A8"/>
    <w:rsid w:val="00866177"/>
    <w:rsid w:val="0086618A"/>
    <w:rsid w:val="0087010A"/>
    <w:rsid w:val="0087034C"/>
    <w:rsid w:val="00870A4C"/>
    <w:rsid w:val="008718E5"/>
    <w:rsid w:val="00871BA9"/>
    <w:rsid w:val="00873E08"/>
    <w:rsid w:val="00873ED9"/>
    <w:rsid w:val="008763B8"/>
    <w:rsid w:val="00877AF2"/>
    <w:rsid w:val="00882D9D"/>
    <w:rsid w:val="00882E77"/>
    <w:rsid w:val="00883A34"/>
    <w:rsid w:val="0088464F"/>
    <w:rsid w:val="00885A97"/>
    <w:rsid w:val="00886E91"/>
    <w:rsid w:val="00887E3C"/>
    <w:rsid w:val="00890AF5"/>
    <w:rsid w:val="00892EF0"/>
    <w:rsid w:val="00892F19"/>
    <w:rsid w:val="0089377C"/>
    <w:rsid w:val="00893E09"/>
    <w:rsid w:val="00894DA0"/>
    <w:rsid w:val="00895CFC"/>
    <w:rsid w:val="008965AC"/>
    <w:rsid w:val="008A07FB"/>
    <w:rsid w:val="008A20EF"/>
    <w:rsid w:val="008A240A"/>
    <w:rsid w:val="008A2779"/>
    <w:rsid w:val="008A2D48"/>
    <w:rsid w:val="008A38B6"/>
    <w:rsid w:val="008A3AD0"/>
    <w:rsid w:val="008A419A"/>
    <w:rsid w:val="008A4651"/>
    <w:rsid w:val="008A7720"/>
    <w:rsid w:val="008B119A"/>
    <w:rsid w:val="008B1B8A"/>
    <w:rsid w:val="008B1CFF"/>
    <w:rsid w:val="008B1DA5"/>
    <w:rsid w:val="008B1FEE"/>
    <w:rsid w:val="008B27AD"/>
    <w:rsid w:val="008B2EB8"/>
    <w:rsid w:val="008B4223"/>
    <w:rsid w:val="008B4EF7"/>
    <w:rsid w:val="008B5A2E"/>
    <w:rsid w:val="008B631A"/>
    <w:rsid w:val="008C09B6"/>
    <w:rsid w:val="008C2881"/>
    <w:rsid w:val="008C34FE"/>
    <w:rsid w:val="008C4602"/>
    <w:rsid w:val="008C4B60"/>
    <w:rsid w:val="008C5E6C"/>
    <w:rsid w:val="008C631A"/>
    <w:rsid w:val="008C7033"/>
    <w:rsid w:val="008C79FB"/>
    <w:rsid w:val="008D5747"/>
    <w:rsid w:val="008D5A82"/>
    <w:rsid w:val="008E1046"/>
    <w:rsid w:val="008E1638"/>
    <w:rsid w:val="008E43E6"/>
    <w:rsid w:val="008E48C3"/>
    <w:rsid w:val="008E4B49"/>
    <w:rsid w:val="008E53C0"/>
    <w:rsid w:val="008E7C7A"/>
    <w:rsid w:val="008E7DF6"/>
    <w:rsid w:val="008F0AFD"/>
    <w:rsid w:val="008F25EF"/>
    <w:rsid w:val="008F2C64"/>
    <w:rsid w:val="008F2F26"/>
    <w:rsid w:val="008F303F"/>
    <w:rsid w:val="008F510D"/>
    <w:rsid w:val="008F6009"/>
    <w:rsid w:val="008F68BE"/>
    <w:rsid w:val="008F7B54"/>
    <w:rsid w:val="008F7FF2"/>
    <w:rsid w:val="00900365"/>
    <w:rsid w:val="009020B8"/>
    <w:rsid w:val="0090285F"/>
    <w:rsid w:val="00903AB7"/>
    <w:rsid w:val="00904E14"/>
    <w:rsid w:val="009050AC"/>
    <w:rsid w:val="00910DE6"/>
    <w:rsid w:val="009149DA"/>
    <w:rsid w:val="00915E04"/>
    <w:rsid w:val="009219C6"/>
    <w:rsid w:val="00923229"/>
    <w:rsid w:val="00924783"/>
    <w:rsid w:val="00927A12"/>
    <w:rsid w:val="00930268"/>
    <w:rsid w:val="009302E9"/>
    <w:rsid w:val="0093088F"/>
    <w:rsid w:val="00930B4D"/>
    <w:rsid w:val="009313BD"/>
    <w:rsid w:val="00932CEA"/>
    <w:rsid w:val="00933168"/>
    <w:rsid w:val="0093450E"/>
    <w:rsid w:val="009358BA"/>
    <w:rsid w:val="00940D74"/>
    <w:rsid w:val="00942710"/>
    <w:rsid w:val="00944047"/>
    <w:rsid w:val="0094760F"/>
    <w:rsid w:val="00947EDD"/>
    <w:rsid w:val="00950926"/>
    <w:rsid w:val="00951978"/>
    <w:rsid w:val="00951E5B"/>
    <w:rsid w:val="009522FF"/>
    <w:rsid w:val="009527E1"/>
    <w:rsid w:val="00954E28"/>
    <w:rsid w:val="00954F3B"/>
    <w:rsid w:val="0095543C"/>
    <w:rsid w:val="00955E1E"/>
    <w:rsid w:val="00956F09"/>
    <w:rsid w:val="00957104"/>
    <w:rsid w:val="00957F17"/>
    <w:rsid w:val="009618D9"/>
    <w:rsid w:val="0096279C"/>
    <w:rsid w:val="009627D5"/>
    <w:rsid w:val="00963684"/>
    <w:rsid w:val="00963729"/>
    <w:rsid w:val="00963EDD"/>
    <w:rsid w:val="009643DC"/>
    <w:rsid w:val="0096779C"/>
    <w:rsid w:val="00970301"/>
    <w:rsid w:val="00970999"/>
    <w:rsid w:val="00972B2A"/>
    <w:rsid w:val="009741B3"/>
    <w:rsid w:val="00974D01"/>
    <w:rsid w:val="00974ECD"/>
    <w:rsid w:val="00977DDF"/>
    <w:rsid w:val="009805E9"/>
    <w:rsid w:val="00982780"/>
    <w:rsid w:val="00983F4D"/>
    <w:rsid w:val="009845AA"/>
    <w:rsid w:val="00985E68"/>
    <w:rsid w:val="009862A4"/>
    <w:rsid w:val="0098640D"/>
    <w:rsid w:val="00986F18"/>
    <w:rsid w:val="00990C55"/>
    <w:rsid w:val="00991A92"/>
    <w:rsid w:val="00992A24"/>
    <w:rsid w:val="00993340"/>
    <w:rsid w:val="00993932"/>
    <w:rsid w:val="009955AF"/>
    <w:rsid w:val="00995709"/>
    <w:rsid w:val="00996731"/>
    <w:rsid w:val="009968E5"/>
    <w:rsid w:val="009A0BBA"/>
    <w:rsid w:val="009A12B9"/>
    <w:rsid w:val="009A1CE5"/>
    <w:rsid w:val="009A2FDB"/>
    <w:rsid w:val="009A3440"/>
    <w:rsid w:val="009A3FED"/>
    <w:rsid w:val="009A43DB"/>
    <w:rsid w:val="009A4D6F"/>
    <w:rsid w:val="009A51C8"/>
    <w:rsid w:val="009B061F"/>
    <w:rsid w:val="009B0AB8"/>
    <w:rsid w:val="009B0CB4"/>
    <w:rsid w:val="009B1860"/>
    <w:rsid w:val="009B4032"/>
    <w:rsid w:val="009B4456"/>
    <w:rsid w:val="009B65EF"/>
    <w:rsid w:val="009B7602"/>
    <w:rsid w:val="009C1A30"/>
    <w:rsid w:val="009C1C22"/>
    <w:rsid w:val="009C223A"/>
    <w:rsid w:val="009C37FA"/>
    <w:rsid w:val="009C5550"/>
    <w:rsid w:val="009C583E"/>
    <w:rsid w:val="009C5B67"/>
    <w:rsid w:val="009D0343"/>
    <w:rsid w:val="009D09C9"/>
    <w:rsid w:val="009D2D07"/>
    <w:rsid w:val="009D4A48"/>
    <w:rsid w:val="009D5175"/>
    <w:rsid w:val="009D5F31"/>
    <w:rsid w:val="009D611C"/>
    <w:rsid w:val="009D7AF0"/>
    <w:rsid w:val="009E15A2"/>
    <w:rsid w:val="009E2054"/>
    <w:rsid w:val="009E253A"/>
    <w:rsid w:val="009E269D"/>
    <w:rsid w:val="009E5B02"/>
    <w:rsid w:val="009E656B"/>
    <w:rsid w:val="009E6AB6"/>
    <w:rsid w:val="009E6BC9"/>
    <w:rsid w:val="009E7888"/>
    <w:rsid w:val="009F0B97"/>
    <w:rsid w:val="009F1D08"/>
    <w:rsid w:val="009F43E3"/>
    <w:rsid w:val="009F47D5"/>
    <w:rsid w:val="009F4DD2"/>
    <w:rsid w:val="009F632F"/>
    <w:rsid w:val="009F6EDF"/>
    <w:rsid w:val="009F704E"/>
    <w:rsid w:val="00A00228"/>
    <w:rsid w:val="00A046F2"/>
    <w:rsid w:val="00A058D3"/>
    <w:rsid w:val="00A103F6"/>
    <w:rsid w:val="00A10537"/>
    <w:rsid w:val="00A11478"/>
    <w:rsid w:val="00A122B9"/>
    <w:rsid w:val="00A14EA8"/>
    <w:rsid w:val="00A15BF1"/>
    <w:rsid w:val="00A15EA9"/>
    <w:rsid w:val="00A163DE"/>
    <w:rsid w:val="00A21D02"/>
    <w:rsid w:val="00A21D95"/>
    <w:rsid w:val="00A2284E"/>
    <w:rsid w:val="00A239C9"/>
    <w:rsid w:val="00A24378"/>
    <w:rsid w:val="00A245A3"/>
    <w:rsid w:val="00A25C36"/>
    <w:rsid w:val="00A3118B"/>
    <w:rsid w:val="00A328CD"/>
    <w:rsid w:val="00A36184"/>
    <w:rsid w:val="00A36B89"/>
    <w:rsid w:val="00A40D05"/>
    <w:rsid w:val="00A40D37"/>
    <w:rsid w:val="00A418FC"/>
    <w:rsid w:val="00A4563E"/>
    <w:rsid w:val="00A46503"/>
    <w:rsid w:val="00A50401"/>
    <w:rsid w:val="00A513DE"/>
    <w:rsid w:val="00A51DFB"/>
    <w:rsid w:val="00A52546"/>
    <w:rsid w:val="00A53583"/>
    <w:rsid w:val="00A544F1"/>
    <w:rsid w:val="00A54A7A"/>
    <w:rsid w:val="00A57580"/>
    <w:rsid w:val="00A60345"/>
    <w:rsid w:val="00A608A7"/>
    <w:rsid w:val="00A60906"/>
    <w:rsid w:val="00A6107A"/>
    <w:rsid w:val="00A61C3A"/>
    <w:rsid w:val="00A6202D"/>
    <w:rsid w:val="00A65DBC"/>
    <w:rsid w:val="00A65DFE"/>
    <w:rsid w:val="00A7000B"/>
    <w:rsid w:val="00A72533"/>
    <w:rsid w:val="00A746E8"/>
    <w:rsid w:val="00A7470A"/>
    <w:rsid w:val="00A80B61"/>
    <w:rsid w:val="00A8121A"/>
    <w:rsid w:val="00A8133B"/>
    <w:rsid w:val="00A839E7"/>
    <w:rsid w:val="00A853EB"/>
    <w:rsid w:val="00A85DD0"/>
    <w:rsid w:val="00A861B1"/>
    <w:rsid w:val="00A87A41"/>
    <w:rsid w:val="00A92072"/>
    <w:rsid w:val="00A93853"/>
    <w:rsid w:val="00A93A92"/>
    <w:rsid w:val="00A93EC0"/>
    <w:rsid w:val="00A945F2"/>
    <w:rsid w:val="00AA08CF"/>
    <w:rsid w:val="00AA1B4C"/>
    <w:rsid w:val="00AA23B3"/>
    <w:rsid w:val="00AA3DD6"/>
    <w:rsid w:val="00AA48EC"/>
    <w:rsid w:val="00AA514F"/>
    <w:rsid w:val="00AA53FC"/>
    <w:rsid w:val="00AA610B"/>
    <w:rsid w:val="00AA6CF3"/>
    <w:rsid w:val="00AB187A"/>
    <w:rsid w:val="00AB1FB1"/>
    <w:rsid w:val="00AB2005"/>
    <w:rsid w:val="00AB5CDA"/>
    <w:rsid w:val="00AB69E5"/>
    <w:rsid w:val="00AB7C7A"/>
    <w:rsid w:val="00AB7F39"/>
    <w:rsid w:val="00AC321B"/>
    <w:rsid w:val="00AC34C9"/>
    <w:rsid w:val="00AC47BB"/>
    <w:rsid w:val="00AC5BA2"/>
    <w:rsid w:val="00AC72BE"/>
    <w:rsid w:val="00AD02F0"/>
    <w:rsid w:val="00AD055E"/>
    <w:rsid w:val="00AD05A3"/>
    <w:rsid w:val="00AD1C6D"/>
    <w:rsid w:val="00AD41A1"/>
    <w:rsid w:val="00AD41A7"/>
    <w:rsid w:val="00AD4923"/>
    <w:rsid w:val="00AD633F"/>
    <w:rsid w:val="00AD6D79"/>
    <w:rsid w:val="00AD7345"/>
    <w:rsid w:val="00AD73A9"/>
    <w:rsid w:val="00AD79DA"/>
    <w:rsid w:val="00AD7E7D"/>
    <w:rsid w:val="00AE0420"/>
    <w:rsid w:val="00AE0F8E"/>
    <w:rsid w:val="00AE38F1"/>
    <w:rsid w:val="00AE5637"/>
    <w:rsid w:val="00AE579D"/>
    <w:rsid w:val="00AE5E74"/>
    <w:rsid w:val="00AE7F7D"/>
    <w:rsid w:val="00AF00D2"/>
    <w:rsid w:val="00AF10D0"/>
    <w:rsid w:val="00AF1BC9"/>
    <w:rsid w:val="00AF443B"/>
    <w:rsid w:val="00AF4BAE"/>
    <w:rsid w:val="00AF50EA"/>
    <w:rsid w:val="00AF5756"/>
    <w:rsid w:val="00AF667E"/>
    <w:rsid w:val="00AF7E26"/>
    <w:rsid w:val="00B005D4"/>
    <w:rsid w:val="00B0129D"/>
    <w:rsid w:val="00B01986"/>
    <w:rsid w:val="00B02845"/>
    <w:rsid w:val="00B02EA5"/>
    <w:rsid w:val="00B04B3D"/>
    <w:rsid w:val="00B04B6B"/>
    <w:rsid w:val="00B04E10"/>
    <w:rsid w:val="00B05019"/>
    <w:rsid w:val="00B05152"/>
    <w:rsid w:val="00B058E1"/>
    <w:rsid w:val="00B05AA8"/>
    <w:rsid w:val="00B05CF8"/>
    <w:rsid w:val="00B060A0"/>
    <w:rsid w:val="00B06463"/>
    <w:rsid w:val="00B101DF"/>
    <w:rsid w:val="00B10CD6"/>
    <w:rsid w:val="00B13EAA"/>
    <w:rsid w:val="00B16E9A"/>
    <w:rsid w:val="00B16EC6"/>
    <w:rsid w:val="00B16EDC"/>
    <w:rsid w:val="00B172F0"/>
    <w:rsid w:val="00B17B0E"/>
    <w:rsid w:val="00B17D94"/>
    <w:rsid w:val="00B22501"/>
    <w:rsid w:val="00B23B26"/>
    <w:rsid w:val="00B243E9"/>
    <w:rsid w:val="00B24869"/>
    <w:rsid w:val="00B2581A"/>
    <w:rsid w:val="00B259A4"/>
    <w:rsid w:val="00B2663E"/>
    <w:rsid w:val="00B30FEC"/>
    <w:rsid w:val="00B31AA9"/>
    <w:rsid w:val="00B330B5"/>
    <w:rsid w:val="00B34028"/>
    <w:rsid w:val="00B347AE"/>
    <w:rsid w:val="00B36068"/>
    <w:rsid w:val="00B36F87"/>
    <w:rsid w:val="00B37D4B"/>
    <w:rsid w:val="00B4024C"/>
    <w:rsid w:val="00B4026B"/>
    <w:rsid w:val="00B413D0"/>
    <w:rsid w:val="00B417F2"/>
    <w:rsid w:val="00B41EDF"/>
    <w:rsid w:val="00B4273F"/>
    <w:rsid w:val="00B44655"/>
    <w:rsid w:val="00B44D8D"/>
    <w:rsid w:val="00B45703"/>
    <w:rsid w:val="00B459DA"/>
    <w:rsid w:val="00B45C99"/>
    <w:rsid w:val="00B46653"/>
    <w:rsid w:val="00B4697E"/>
    <w:rsid w:val="00B505EE"/>
    <w:rsid w:val="00B51801"/>
    <w:rsid w:val="00B51C41"/>
    <w:rsid w:val="00B51DC6"/>
    <w:rsid w:val="00B60F60"/>
    <w:rsid w:val="00B629A0"/>
    <w:rsid w:val="00B632DF"/>
    <w:rsid w:val="00B65158"/>
    <w:rsid w:val="00B65847"/>
    <w:rsid w:val="00B6632D"/>
    <w:rsid w:val="00B67408"/>
    <w:rsid w:val="00B7101D"/>
    <w:rsid w:val="00B71DFF"/>
    <w:rsid w:val="00B71F68"/>
    <w:rsid w:val="00B721E1"/>
    <w:rsid w:val="00B7364B"/>
    <w:rsid w:val="00B7414F"/>
    <w:rsid w:val="00B7529E"/>
    <w:rsid w:val="00B7615B"/>
    <w:rsid w:val="00B81375"/>
    <w:rsid w:val="00B82809"/>
    <w:rsid w:val="00B83AB9"/>
    <w:rsid w:val="00B83C3B"/>
    <w:rsid w:val="00B84606"/>
    <w:rsid w:val="00B858A9"/>
    <w:rsid w:val="00B918F3"/>
    <w:rsid w:val="00B931D2"/>
    <w:rsid w:val="00B936A4"/>
    <w:rsid w:val="00B94F22"/>
    <w:rsid w:val="00B9530E"/>
    <w:rsid w:val="00B96FF4"/>
    <w:rsid w:val="00B97B24"/>
    <w:rsid w:val="00BA0A8E"/>
    <w:rsid w:val="00BA0C9B"/>
    <w:rsid w:val="00BA1EC0"/>
    <w:rsid w:val="00BA1FCA"/>
    <w:rsid w:val="00BA24BA"/>
    <w:rsid w:val="00BA4706"/>
    <w:rsid w:val="00BA4DFD"/>
    <w:rsid w:val="00BA73E0"/>
    <w:rsid w:val="00BB02F0"/>
    <w:rsid w:val="00BB1058"/>
    <w:rsid w:val="00BB1328"/>
    <w:rsid w:val="00BB31C9"/>
    <w:rsid w:val="00BB3208"/>
    <w:rsid w:val="00BB4F09"/>
    <w:rsid w:val="00BB5A28"/>
    <w:rsid w:val="00BB63F1"/>
    <w:rsid w:val="00BB6893"/>
    <w:rsid w:val="00BB7B59"/>
    <w:rsid w:val="00BC26C5"/>
    <w:rsid w:val="00BC2E18"/>
    <w:rsid w:val="00BC5213"/>
    <w:rsid w:val="00BC79BC"/>
    <w:rsid w:val="00BD042F"/>
    <w:rsid w:val="00BD124B"/>
    <w:rsid w:val="00BD17EE"/>
    <w:rsid w:val="00BD4B5D"/>
    <w:rsid w:val="00BD5783"/>
    <w:rsid w:val="00BD5CAA"/>
    <w:rsid w:val="00BE083C"/>
    <w:rsid w:val="00BE1366"/>
    <w:rsid w:val="00BE32AC"/>
    <w:rsid w:val="00BE33F1"/>
    <w:rsid w:val="00BE363F"/>
    <w:rsid w:val="00BE44AE"/>
    <w:rsid w:val="00BF0C65"/>
    <w:rsid w:val="00BF240E"/>
    <w:rsid w:val="00BF2B2B"/>
    <w:rsid w:val="00BF3AE5"/>
    <w:rsid w:val="00BF3D49"/>
    <w:rsid w:val="00BF44BA"/>
    <w:rsid w:val="00BF51CA"/>
    <w:rsid w:val="00BF5D2B"/>
    <w:rsid w:val="00C0288E"/>
    <w:rsid w:val="00C047E9"/>
    <w:rsid w:val="00C058ED"/>
    <w:rsid w:val="00C05F9D"/>
    <w:rsid w:val="00C11D15"/>
    <w:rsid w:val="00C12C79"/>
    <w:rsid w:val="00C15CA9"/>
    <w:rsid w:val="00C1693E"/>
    <w:rsid w:val="00C233FD"/>
    <w:rsid w:val="00C23970"/>
    <w:rsid w:val="00C23B1B"/>
    <w:rsid w:val="00C2691D"/>
    <w:rsid w:val="00C26B9C"/>
    <w:rsid w:val="00C26D6B"/>
    <w:rsid w:val="00C26DC0"/>
    <w:rsid w:val="00C27296"/>
    <w:rsid w:val="00C304AE"/>
    <w:rsid w:val="00C31C69"/>
    <w:rsid w:val="00C31EDF"/>
    <w:rsid w:val="00C3240F"/>
    <w:rsid w:val="00C348F7"/>
    <w:rsid w:val="00C35CF9"/>
    <w:rsid w:val="00C36CA7"/>
    <w:rsid w:val="00C3709E"/>
    <w:rsid w:val="00C37A83"/>
    <w:rsid w:val="00C402B2"/>
    <w:rsid w:val="00C417D3"/>
    <w:rsid w:val="00C41FC9"/>
    <w:rsid w:val="00C42A73"/>
    <w:rsid w:val="00C43180"/>
    <w:rsid w:val="00C44487"/>
    <w:rsid w:val="00C444D1"/>
    <w:rsid w:val="00C45B5E"/>
    <w:rsid w:val="00C475D1"/>
    <w:rsid w:val="00C47B8B"/>
    <w:rsid w:val="00C47D32"/>
    <w:rsid w:val="00C50A4E"/>
    <w:rsid w:val="00C51941"/>
    <w:rsid w:val="00C521CC"/>
    <w:rsid w:val="00C52EDB"/>
    <w:rsid w:val="00C539C2"/>
    <w:rsid w:val="00C54AD6"/>
    <w:rsid w:val="00C57091"/>
    <w:rsid w:val="00C57160"/>
    <w:rsid w:val="00C60332"/>
    <w:rsid w:val="00C60587"/>
    <w:rsid w:val="00C60C3D"/>
    <w:rsid w:val="00C620B6"/>
    <w:rsid w:val="00C70087"/>
    <w:rsid w:val="00C72517"/>
    <w:rsid w:val="00C72680"/>
    <w:rsid w:val="00C736CA"/>
    <w:rsid w:val="00C74B66"/>
    <w:rsid w:val="00C751AA"/>
    <w:rsid w:val="00C76D23"/>
    <w:rsid w:val="00C76F13"/>
    <w:rsid w:val="00C80C3F"/>
    <w:rsid w:val="00C8152B"/>
    <w:rsid w:val="00C815A6"/>
    <w:rsid w:val="00C833A0"/>
    <w:rsid w:val="00C84908"/>
    <w:rsid w:val="00C84BAE"/>
    <w:rsid w:val="00C84DD9"/>
    <w:rsid w:val="00C86209"/>
    <w:rsid w:val="00C87F90"/>
    <w:rsid w:val="00C90855"/>
    <w:rsid w:val="00C90AF7"/>
    <w:rsid w:val="00C90B34"/>
    <w:rsid w:val="00C939FF"/>
    <w:rsid w:val="00C95919"/>
    <w:rsid w:val="00C95F80"/>
    <w:rsid w:val="00C96024"/>
    <w:rsid w:val="00C96180"/>
    <w:rsid w:val="00C9643F"/>
    <w:rsid w:val="00C970D5"/>
    <w:rsid w:val="00C976AF"/>
    <w:rsid w:val="00C97C96"/>
    <w:rsid w:val="00CA031C"/>
    <w:rsid w:val="00CA03AD"/>
    <w:rsid w:val="00CA165C"/>
    <w:rsid w:val="00CA211A"/>
    <w:rsid w:val="00CA2F76"/>
    <w:rsid w:val="00CA31CC"/>
    <w:rsid w:val="00CA5B99"/>
    <w:rsid w:val="00CB0D38"/>
    <w:rsid w:val="00CB11BD"/>
    <w:rsid w:val="00CB12A9"/>
    <w:rsid w:val="00CB271A"/>
    <w:rsid w:val="00CB2F4F"/>
    <w:rsid w:val="00CB3386"/>
    <w:rsid w:val="00CB3D5E"/>
    <w:rsid w:val="00CB4209"/>
    <w:rsid w:val="00CB6A0D"/>
    <w:rsid w:val="00CC0A78"/>
    <w:rsid w:val="00CC0C8A"/>
    <w:rsid w:val="00CC0F8F"/>
    <w:rsid w:val="00CC2AE1"/>
    <w:rsid w:val="00CC3FF7"/>
    <w:rsid w:val="00CC525E"/>
    <w:rsid w:val="00CC567B"/>
    <w:rsid w:val="00CC5FCF"/>
    <w:rsid w:val="00CC7079"/>
    <w:rsid w:val="00CC70E8"/>
    <w:rsid w:val="00CC7B1E"/>
    <w:rsid w:val="00CD05A3"/>
    <w:rsid w:val="00CD0D39"/>
    <w:rsid w:val="00CD1702"/>
    <w:rsid w:val="00CD20AA"/>
    <w:rsid w:val="00CD3482"/>
    <w:rsid w:val="00CD475D"/>
    <w:rsid w:val="00CD53A7"/>
    <w:rsid w:val="00CD6A70"/>
    <w:rsid w:val="00CD7838"/>
    <w:rsid w:val="00CE1CFD"/>
    <w:rsid w:val="00CE1F4F"/>
    <w:rsid w:val="00CE3BAC"/>
    <w:rsid w:val="00CE3C09"/>
    <w:rsid w:val="00CE5631"/>
    <w:rsid w:val="00CE6321"/>
    <w:rsid w:val="00CE6793"/>
    <w:rsid w:val="00CF0162"/>
    <w:rsid w:val="00CF2E18"/>
    <w:rsid w:val="00CF4A7E"/>
    <w:rsid w:val="00CF4EB3"/>
    <w:rsid w:val="00CF713A"/>
    <w:rsid w:val="00CF7AFC"/>
    <w:rsid w:val="00D023D8"/>
    <w:rsid w:val="00D031D4"/>
    <w:rsid w:val="00D05B18"/>
    <w:rsid w:val="00D062DD"/>
    <w:rsid w:val="00D07B0A"/>
    <w:rsid w:val="00D104DD"/>
    <w:rsid w:val="00D110C3"/>
    <w:rsid w:val="00D144BC"/>
    <w:rsid w:val="00D17EA7"/>
    <w:rsid w:val="00D207CE"/>
    <w:rsid w:val="00D20EC5"/>
    <w:rsid w:val="00D21303"/>
    <w:rsid w:val="00D217EE"/>
    <w:rsid w:val="00D232BA"/>
    <w:rsid w:val="00D232D9"/>
    <w:rsid w:val="00D25515"/>
    <w:rsid w:val="00D26C66"/>
    <w:rsid w:val="00D27D1C"/>
    <w:rsid w:val="00D30B80"/>
    <w:rsid w:val="00D316E9"/>
    <w:rsid w:val="00D32CA4"/>
    <w:rsid w:val="00D34855"/>
    <w:rsid w:val="00D34952"/>
    <w:rsid w:val="00D35EEB"/>
    <w:rsid w:val="00D361EB"/>
    <w:rsid w:val="00D362CC"/>
    <w:rsid w:val="00D3631C"/>
    <w:rsid w:val="00D36A86"/>
    <w:rsid w:val="00D414F6"/>
    <w:rsid w:val="00D4307A"/>
    <w:rsid w:val="00D43735"/>
    <w:rsid w:val="00D44F8B"/>
    <w:rsid w:val="00D45295"/>
    <w:rsid w:val="00D4608C"/>
    <w:rsid w:val="00D4629D"/>
    <w:rsid w:val="00D473C4"/>
    <w:rsid w:val="00D51792"/>
    <w:rsid w:val="00D51BF7"/>
    <w:rsid w:val="00D5211B"/>
    <w:rsid w:val="00D522A8"/>
    <w:rsid w:val="00D52686"/>
    <w:rsid w:val="00D52971"/>
    <w:rsid w:val="00D55BAF"/>
    <w:rsid w:val="00D55C48"/>
    <w:rsid w:val="00D569EC"/>
    <w:rsid w:val="00D56DF4"/>
    <w:rsid w:val="00D57108"/>
    <w:rsid w:val="00D57230"/>
    <w:rsid w:val="00D57CB9"/>
    <w:rsid w:val="00D600CF"/>
    <w:rsid w:val="00D63475"/>
    <w:rsid w:val="00D634FB"/>
    <w:rsid w:val="00D63622"/>
    <w:rsid w:val="00D63CB2"/>
    <w:rsid w:val="00D6409B"/>
    <w:rsid w:val="00D6435B"/>
    <w:rsid w:val="00D7040B"/>
    <w:rsid w:val="00D71036"/>
    <w:rsid w:val="00D715E8"/>
    <w:rsid w:val="00D71B9B"/>
    <w:rsid w:val="00D72D89"/>
    <w:rsid w:val="00D7446D"/>
    <w:rsid w:val="00D74B55"/>
    <w:rsid w:val="00D751D9"/>
    <w:rsid w:val="00D752F0"/>
    <w:rsid w:val="00D7639F"/>
    <w:rsid w:val="00D769AE"/>
    <w:rsid w:val="00D76A67"/>
    <w:rsid w:val="00D77155"/>
    <w:rsid w:val="00D77BCF"/>
    <w:rsid w:val="00D80152"/>
    <w:rsid w:val="00D815D3"/>
    <w:rsid w:val="00D81CE6"/>
    <w:rsid w:val="00D83004"/>
    <w:rsid w:val="00D83ED5"/>
    <w:rsid w:val="00D844C9"/>
    <w:rsid w:val="00D85CBF"/>
    <w:rsid w:val="00D86E5B"/>
    <w:rsid w:val="00D86F64"/>
    <w:rsid w:val="00D87886"/>
    <w:rsid w:val="00D91BBE"/>
    <w:rsid w:val="00D93206"/>
    <w:rsid w:val="00D96CC4"/>
    <w:rsid w:val="00D976D1"/>
    <w:rsid w:val="00DA0426"/>
    <w:rsid w:val="00DA1FE0"/>
    <w:rsid w:val="00DA346F"/>
    <w:rsid w:val="00DA4B5A"/>
    <w:rsid w:val="00DA65A7"/>
    <w:rsid w:val="00DA722A"/>
    <w:rsid w:val="00DA736F"/>
    <w:rsid w:val="00DA7A79"/>
    <w:rsid w:val="00DA7C26"/>
    <w:rsid w:val="00DB1BC1"/>
    <w:rsid w:val="00DB1F7F"/>
    <w:rsid w:val="00DB2B99"/>
    <w:rsid w:val="00DB31B0"/>
    <w:rsid w:val="00DB35FF"/>
    <w:rsid w:val="00DB3C10"/>
    <w:rsid w:val="00DB46BD"/>
    <w:rsid w:val="00DB4BD0"/>
    <w:rsid w:val="00DB59B2"/>
    <w:rsid w:val="00DB7789"/>
    <w:rsid w:val="00DB7BC1"/>
    <w:rsid w:val="00DB7D9C"/>
    <w:rsid w:val="00DC092C"/>
    <w:rsid w:val="00DC0D21"/>
    <w:rsid w:val="00DC394D"/>
    <w:rsid w:val="00DC5CC8"/>
    <w:rsid w:val="00DC70B3"/>
    <w:rsid w:val="00DC73FF"/>
    <w:rsid w:val="00DD1292"/>
    <w:rsid w:val="00DD2DD2"/>
    <w:rsid w:val="00DD4225"/>
    <w:rsid w:val="00DE0A9F"/>
    <w:rsid w:val="00DE1094"/>
    <w:rsid w:val="00DE22E0"/>
    <w:rsid w:val="00DE2344"/>
    <w:rsid w:val="00DE4A70"/>
    <w:rsid w:val="00DE58C8"/>
    <w:rsid w:val="00DE5973"/>
    <w:rsid w:val="00DE5F23"/>
    <w:rsid w:val="00DE60FB"/>
    <w:rsid w:val="00DE7843"/>
    <w:rsid w:val="00DF081C"/>
    <w:rsid w:val="00DF0D5C"/>
    <w:rsid w:val="00DF2015"/>
    <w:rsid w:val="00DF212D"/>
    <w:rsid w:val="00E00E87"/>
    <w:rsid w:val="00E010B2"/>
    <w:rsid w:val="00E033A6"/>
    <w:rsid w:val="00E0357E"/>
    <w:rsid w:val="00E10A0A"/>
    <w:rsid w:val="00E13CCB"/>
    <w:rsid w:val="00E1400D"/>
    <w:rsid w:val="00E1620F"/>
    <w:rsid w:val="00E170A3"/>
    <w:rsid w:val="00E1734C"/>
    <w:rsid w:val="00E175DE"/>
    <w:rsid w:val="00E177F1"/>
    <w:rsid w:val="00E210D6"/>
    <w:rsid w:val="00E21892"/>
    <w:rsid w:val="00E2353D"/>
    <w:rsid w:val="00E242CB"/>
    <w:rsid w:val="00E24A7B"/>
    <w:rsid w:val="00E25C8C"/>
    <w:rsid w:val="00E272F7"/>
    <w:rsid w:val="00E30EFA"/>
    <w:rsid w:val="00E31739"/>
    <w:rsid w:val="00E3257D"/>
    <w:rsid w:val="00E3381C"/>
    <w:rsid w:val="00E3549B"/>
    <w:rsid w:val="00E36E87"/>
    <w:rsid w:val="00E37E39"/>
    <w:rsid w:val="00E403CF"/>
    <w:rsid w:val="00E4210A"/>
    <w:rsid w:val="00E43226"/>
    <w:rsid w:val="00E43942"/>
    <w:rsid w:val="00E43C31"/>
    <w:rsid w:val="00E454F5"/>
    <w:rsid w:val="00E46BC6"/>
    <w:rsid w:val="00E50D01"/>
    <w:rsid w:val="00E51528"/>
    <w:rsid w:val="00E54E16"/>
    <w:rsid w:val="00E553D2"/>
    <w:rsid w:val="00E55416"/>
    <w:rsid w:val="00E561CB"/>
    <w:rsid w:val="00E621CE"/>
    <w:rsid w:val="00E647A7"/>
    <w:rsid w:val="00E66B4C"/>
    <w:rsid w:val="00E7131E"/>
    <w:rsid w:val="00E72565"/>
    <w:rsid w:val="00E731FD"/>
    <w:rsid w:val="00E73D12"/>
    <w:rsid w:val="00E7787E"/>
    <w:rsid w:val="00E77AE9"/>
    <w:rsid w:val="00E803D3"/>
    <w:rsid w:val="00E8081A"/>
    <w:rsid w:val="00E82292"/>
    <w:rsid w:val="00E840F1"/>
    <w:rsid w:val="00E84546"/>
    <w:rsid w:val="00E848AB"/>
    <w:rsid w:val="00E8550F"/>
    <w:rsid w:val="00E85995"/>
    <w:rsid w:val="00E8733D"/>
    <w:rsid w:val="00E901B4"/>
    <w:rsid w:val="00E90BC8"/>
    <w:rsid w:val="00E920C1"/>
    <w:rsid w:val="00E9618B"/>
    <w:rsid w:val="00E96676"/>
    <w:rsid w:val="00E9696E"/>
    <w:rsid w:val="00EA17FE"/>
    <w:rsid w:val="00EA2783"/>
    <w:rsid w:val="00EA2CB7"/>
    <w:rsid w:val="00EA42FC"/>
    <w:rsid w:val="00EA451C"/>
    <w:rsid w:val="00EA5C3A"/>
    <w:rsid w:val="00EA66E5"/>
    <w:rsid w:val="00EB1981"/>
    <w:rsid w:val="00EB26C4"/>
    <w:rsid w:val="00EB6AD0"/>
    <w:rsid w:val="00EB7427"/>
    <w:rsid w:val="00EB7DB2"/>
    <w:rsid w:val="00EC084F"/>
    <w:rsid w:val="00EC3287"/>
    <w:rsid w:val="00EC3745"/>
    <w:rsid w:val="00EC4778"/>
    <w:rsid w:val="00EC4F4C"/>
    <w:rsid w:val="00EC543C"/>
    <w:rsid w:val="00EC5600"/>
    <w:rsid w:val="00EC703D"/>
    <w:rsid w:val="00EC7813"/>
    <w:rsid w:val="00ED100A"/>
    <w:rsid w:val="00ED16B3"/>
    <w:rsid w:val="00ED1D66"/>
    <w:rsid w:val="00ED2989"/>
    <w:rsid w:val="00ED35E5"/>
    <w:rsid w:val="00ED3ACD"/>
    <w:rsid w:val="00ED5A62"/>
    <w:rsid w:val="00ED6401"/>
    <w:rsid w:val="00ED664A"/>
    <w:rsid w:val="00ED72AD"/>
    <w:rsid w:val="00ED7699"/>
    <w:rsid w:val="00ED7870"/>
    <w:rsid w:val="00EE092D"/>
    <w:rsid w:val="00EE209D"/>
    <w:rsid w:val="00EE4602"/>
    <w:rsid w:val="00EE66C1"/>
    <w:rsid w:val="00EF1B37"/>
    <w:rsid w:val="00EF1E1E"/>
    <w:rsid w:val="00EF1EB9"/>
    <w:rsid w:val="00EF2581"/>
    <w:rsid w:val="00EF3F79"/>
    <w:rsid w:val="00EF4787"/>
    <w:rsid w:val="00F0060E"/>
    <w:rsid w:val="00F00ADC"/>
    <w:rsid w:val="00F00D02"/>
    <w:rsid w:val="00F0136F"/>
    <w:rsid w:val="00F101E3"/>
    <w:rsid w:val="00F105AA"/>
    <w:rsid w:val="00F10FA5"/>
    <w:rsid w:val="00F10FDE"/>
    <w:rsid w:val="00F12349"/>
    <w:rsid w:val="00F12E48"/>
    <w:rsid w:val="00F1402F"/>
    <w:rsid w:val="00F148CE"/>
    <w:rsid w:val="00F177FF"/>
    <w:rsid w:val="00F22355"/>
    <w:rsid w:val="00F22BFA"/>
    <w:rsid w:val="00F23CD9"/>
    <w:rsid w:val="00F27C12"/>
    <w:rsid w:val="00F30647"/>
    <w:rsid w:val="00F32F02"/>
    <w:rsid w:val="00F34E9D"/>
    <w:rsid w:val="00F350ED"/>
    <w:rsid w:val="00F356DC"/>
    <w:rsid w:val="00F37217"/>
    <w:rsid w:val="00F37781"/>
    <w:rsid w:val="00F37C43"/>
    <w:rsid w:val="00F37D5C"/>
    <w:rsid w:val="00F40A3C"/>
    <w:rsid w:val="00F40C96"/>
    <w:rsid w:val="00F40E89"/>
    <w:rsid w:val="00F41498"/>
    <w:rsid w:val="00F41C83"/>
    <w:rsid w:val="00F43010"/>
    <w:rsid w:val="00F51D59"/>
    <w:rsid w:val="00F53411"/>
    <w:rsid w:val="00F55027"/>
    <w:rsid w:val="00F5549D"/>
    <w:rsid w:val="00F5572C"/>
    <w:rsid w:val="00F558B6"/>
    <w:rsid w:val="00F55F15"/>
    <w:rsid w:val="00F57998"/>
    <w:rsid w:val="00F622A3"/>
    <w:rsid w:val="00F62AFA"/>
    <w:rsid w:val="00F62FC8"/>
    <w:rsid w:val="00F6372B"/>
    <w:rsid w:val="00F64A53"/>
    <w:rsid w:val="00F66BB4"/>
    <w:rsid w:val="00F671DA"/>
    <w:rsid w:val="00F721D6"/>
    <w:rsid w:val="00F7264E"/>
    <w:rsid w:val="00F729F4"/>
    <w:rsid w:val="00F736E6"/>
    <w:rsid w:val="00F73F7E"/>
    <w:rsid w:val="00F76B5B"/>
    <w:rsid w:val="00F818B2"/>
    <w:rsid w:val="00F82D84"/>
    <w:rsid w:val="00F83DA7"/>
    <w:rsid w:val="00F863C6"/>
    <w:rsid w:val="00F86765"/>
    <w:rsid w:val="00F94C7D"/>
    <w:rsid w:val="00F95EB9"/>
    <w:rsid w:val="00F96ABE"/>
    <w:rsid w:val="00F97DBE"/>
    <w:rsid w:val="00FA0D9F"/>
    <w:rsid w:val="00FA3E23"/>
    <w:rsid w:val="00FA437F"/>
    <w:rsid w:val="00FA4610"/>
    <w:rsid w:val="00FA46D5"/>
    <w:rsid w:val="00FA748C"/>
    <w:rsid w:val="00FB187D"/>
    <w:rsid w:val="00FB2D56"/>
    <w:rsid w:val="00FB6015"/>
    <w:rsid w:val="00FC00BD"/>
    <w:rsid w:val="00FC03C7"/>
    <w:rsid w:val="00FC150E"/>
    <w:rsid w:val="00FC2192"/>
    <w:rsid w:val="00FC494A"/>
    <w:rsid w:val="00FC4A79"/>
    <w:rsid w:val="00FC54FD"/>
    <w:rsid w:val="00FC5C95"/>
    <w:rsid w:val="00FD5C00"/>
    <w:rsid w:val="00FD5F37"/>
    <w:rsid w:val="00FD6EDA"/>
    <w:rsid w:val="00FE1D1C"/>
    <w:rsid w:val="00FE1D7A"/>
    <w:rsid w:val="00FE2137"/>
    <w:rsid w:val="00FE24FC"/>
    <w:rsid w:val="00FE38C5"/>
    <w:rsid w:val="00FE5446"/>
    <w:rsid w:val="00FE6316"/>
    <w:rsid w:val="00FE651C"/>
    <w:rsid w:val="00FE6F74"/>
    <w:rsid w:val="00FE7701"/>
    <w:rsid w:val="00FF10E5"/>
    <w:rsid w:val="00FF32FC"/>
    <w:rsid w:val="00FF52A9"/>
    <w:rsid w:val="00FF5D80"/>
    <w:rsid w:val="00FF618E"/>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E5210"/>
  <w15:chartTrackingRefBased/>
  <w15:docId w15:val="{494D86BD-6195-45A8-8ED6-AA58525D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25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77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F5458"/>
    <w:pPr>
      <w:keepNext/>
      <w:keepLines/>
      <w:numPr>
        <w:numId w:val="1"/>
      </w:numPr>
      <w:spacing w:before="40" w:after="0"/>
      <w:outlineLvl w:val="2"/>
    </w:pPr>
    <w:rPr>
      <w:rFonts w:ascii="Century Gothic" w:eastAsiaTheme="majorEastAsia" w:hAnsi="Century Gothic"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772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5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E770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F5458"/>
    <w:rPr>
      <w:rFonts w:ascii="Century Gothic" w:eastAsiaTheme="majorEastAsia" w:hAnsi="Century Gothic" w:cstheme="majorBidi"/>
      <w:color w:val="1F4D78" w:themeColor="accent1" w:themeShade="7F"/>
      <w:sz w:val="24"/>
      <w:szCs w:val="24"/>
    </w:rPr>
  </w:style>
  <w:style w:type="character" w:customStyle="1" w:styleId="Heading4Char">
    <w:name w:val="Heading 4 Char"/>
    <w:basedOn w:val="DefaultParagraphFont"/>
    <w:link w:val="Heading4"/>
    <w:rsid w:val="00177269"/>
    <w:rPr>
      <w:rFonts w:asciiTheme="majorHAnsi" w:eastAsiaTheme="majorEastAsia" w:hAnsiTheme="majorHAnsi" w:cstheme="majorBidi"/>
      <w:i/>
      <w:iCs/>
      <w:color w:val="2E74B5" w:themeColor="accent1" w:themeShade="BF"/>
    </w:rPr>
  </w:style>
  <w:style w:type="paragraph" w:styleId="NoSpacing">
    <w:name w:val="No Spacing"/>
    <w:link w:val="NoSpacingChar"/>
    <w:uiPriority w:val="1"/>
    <w:qFormat/>
    <w:rsid w:val="00F96ABE"/>
    <w:pPr>
      <w:spacing w:after="0" w:line="240" w:lineRule="auto"/>
    </w:pPr>
    <w:rPr>
      <w:lang w:val="en-US" w:eastAsia="en-US"/>
    </w:rPr>
  </w:style>
  <w:style w:type="character" w:customStyle="1" w:styleId="NoSpacingChar">
    <w:name w:val="No Spacing Char"/>
    <w:basedOn w:val="DefaultParagraphFont"/>
    <w:link w:val="NoSpacing"/>
    <w:uiPriority w:val="1"/>
    <w:rsid w:val="00F96ABE"/>
    <w:rPr>
      <w:lang w:val="en-US" w:eastAsia="en-US"/>
    </w:rPr>
  </w:style>
  <w:style w:type="paragraph" w:styleId="Date">
    <w:name w:val="Date"/>
    <w:basedOn w:val="Normal"/>
    <w:next w:val="Normal"/>
    <w:link w:val="DateChar"/>
    <w:uiPriority w:val="99"/>
    <w:semiHidden/>
    <w:unhideWhenUsed/>
    <w:rsid w:val="00DB1BC1"/>
  </w:style>
  <w:style w:type="character" w:customStyle="1" w:styleId="DateChar">
    <w:name w:val="Date Char"/>
    <w:basedOn w:val="DefaultParagraphFont"/>
    <w:link w:val="Date"/>
    <w:uiPriority w:val="99"/>
    <w:semiHidden/>
    <w:rsid w:val="00DB1BC1"/>
  </w:style>
  <w:style w:type="character" w:styleId="Hyperlink">
    <w:name w:val="Hyperlink"/>
    <w:basedOn w:val="DefaultParagraphFont"/>
    <w:uiPriority w:val="99"/>
    <w:unhideWhenUsed/>
    <w:rsid w:val="00DB1BC1"/>
    <w:rPr>
      <w:color w:val="0563C1" w:themeColor="hyperlink"/>
      <w:u w:val="single"/>
    </w:rPr>
  </w:style>
  <w:style w:type="paragraph" w:styleId="NormalWeb">
    <w:name w:val="Normal (Web)"/>
    <w:basedOn w:val="Normal"/>
    <w:uiPriority w:val="99"/>
    <w:unhideWhenUsed/>
    <w:rsid w:val="00DB1BC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69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385"/>
  </w:style>
  <w:style w:type="paragraph" w:styleId="Footer">
    <w:name w:val="footer"/>
    <w:basedOn w:val="Normal"/>
    <w:link w:val="FooterChar"/>
    <w:uiPriority w:val="99"/>
    <w:unhideWhenUsed/>
    <w:rsid w:val="0069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385"/>
  </w:style>
  <w:style w:type="paragraph" w:styleId="TOCHeading">
    <w:name w:val="TOC Heading"/>
    <w:basedOn w:val="Heading1"/>
    <w:next w:val="Normal"/>
    <w:uiPriority w:val="39"/>
    <w:unhideWhenUsed/>
    <w:qFormat/>
    <w:rsid w:val="00214811"/>
    <w:pPr>
      <w:outlineLvl w:val="9"/>
    </w:pPr>
    <w:rPr>
      <w:lang w:val="en-US" w:eastAsia="en-US"/>
    </w:rPr>
  </w:style>
  <w:style w:type="paragraph" w:styleId="TOC1">
    <w:name w:val="toc 1"/>
    <w:basedOn w:val="Normal"/>
    <w:next w:val="Normal"/>
    <w:autoRedefine/>
    <w:uiPriority w:val="39"/>
    <w:unhideWhenUsed/>
    <w:rsid w:val="002021A9"/>
    <w:pPr>
      <w:spacing w:before="240" w:after="120"/>
    </w:pPr>
    <w:rPr>
      <w:rFonts w:cs="Times New Roman"/>
      <w:b/>
      <w:bCs/>
      <w:sz w:val="20"/>
      <w:szCs w:val="24"/>
    </w:rPr>
  </w:style>
  <w:style w:type="paragraph" w:styleId="TOC2">
    <w:name w:val="toc 2"/>
    <w:basedOn w:val="Normal"/>
    <w:next w:val="Normal"/>
    <w:autoRedefine/>
    <w:uiPriority w:val="39"/>
    <w:unhideWhenUsed/>
    <w:rsid w:val="007079A1"/>
    <w:pPr>
      <w:spacing w:before="120" w:after="0"/>
      <w:ind w:left="220"/>
    </w:pPr>
    <w:rPr>
      <w:rFonts w:cs="Times New Roman"/>
      <w:i/>
      <w:iCs/>
      <w:sz w:val="20"/>
      <w:szCs w:val="24"/>
    </w:rPr>
  </w:style>
  <w:style w:type="paragraph" w:styleId="FootnoteText">
    <w:name w:val="footnote text"/>
    <w:basedOn w:val="Normal"/>
    <w:link w:val="FootnoteTextChar"/>
    <w:unhideWhenUsed/>
    <w:qFormat/>
    <w:rsid w:val="007079A1"/>
    <w:pPr>
      <w:spacing w:after="0" w:line="240" w:lineRule="auto"/>
    </w:pPr>
    <w:rPr>
      <w:sz w:val="20"/>
      <w:szCs w:val="20"/>
    </w:rPr>
  </w:style>
  <w:style w:type="character" w:customStyle="1" w:styleId="FootnoteTextChar">
    <w:name w:val="Footnote Text Char"/>
    <w:basedOn w:val="DefaultParagraphFont"/>
    <w:link w:val="FootnoteText"/>
    <w:uiPriority w:val="99"/>
    <w:rsid w:val="007079A1"/>
    <w:rPr>
      <w:sz w:val="20"/>
      <w:szCs w:val="20"/>
    </w:rPr>
  </w:style>
  <w:style w:type="character" w:styleId="FootnoteReference">
    <w:name w:val="footnote reference"/>
    <w:basedOn w:val="DefaultParagraphFont"/>
    <w:unhideWhenUsed/>
    <w:rsid w:val="007079A1"/>
    <w:rPr>
      <w:vertAlign w:val="superscript"/>
    </w:rPr>
  </w:style>
  <w:style w:type="paragraph" w:styleId="ListParagraph">
    <w:name w:val="List Paragraph"/>
    <w:basedOn w:val="Normal"/>
    <w:uiPriority w:val="34"/>
    <w:qFormat/>
    <w:rsid w:val="00DA346F"/>
    <w:pPr>
      <w:ind w:left="720"/>
      <w:contextualSpacing/>
    </w:pPr>
  </w:style>
  <w:style w:type="paragraph" w:styleId="TOC3">
    <w:name w:val="toc 3"/>
    <w:basedOn w:val="Normal"/>
    <w:next w:val="Normal"/>
    <w:autoRedefine/>
    <w:uiPriority w:val="39"/>
    <w:unhideWhenUsed/>
    <w:rsid w:val="006A3A3C"/>
    <w:pPr>
      <w:spacing w:after="0"/>
      <w:ind w:left="440"/>
    </w:pPr>
    <w:rPr>
      <w:rFonts w:ascii="Century Gothic" w:hAnsi="Century Gothic" w:cs="Times New Roman"/>
      <w:sz w:val="20"/>
      <w:szCs w:val="24"/>
    </w:rPr>
  </w:style>
  <w:style w:type="paragraph" w:styleId="TableofFigures">
    <w:name w:val="table of figures"/>
    <w:basedOn w:val="Normal"/>
    <w:next w:val="Normal"/>
    <w:uiPriority w:val="99"/>
    <w:unhideWhenUsed/>
    <w:rsid w:val="00073E18"/>
    <w:pPr>
      <w:spacing w:after="0"/>
    </w:pPr>
  </w:style>
  <w:style w:type="paragraph" w:styleId="Bibliography">
    <w:name w:val="Bibliography"/>
    <w:basedOn w:val="Normal"/>
    <w:next w:val="Normal"/>
    <w:uiPriority w:val="37"/>
    <w:unhideWhenUsed/>
    <w:rsid w:val="00A40D37"/>
  </w:style>
  <w:style w:type="paragraph" w:styleId="Caption">
    <w:name w:val="caption"/>
    <w:basedOn w:val="Normal"/>
    <w:next w:val="Normal"/>
    <w:uiPriority w:val="35"/>
    <w:unhideWhenUsed/>
    <w:qFormat/>
    <w:rsid w:val="007928B6"/>
    <w:pPr>
      <w:spacing w:after="200" w:line="240" w:lineRule="auto"/>
    </w:pPr>
    <w:rPr>
      <w:i/>
      <w:iCs/>
      <w:color w:val="44546A" w:themeColor="text2"/>
      <w:sz w:val="18"/>
      <w:szCs w:val="18"/>
    </w:rPr>
  </w:style>
  <w:style w:type="character" w:styleId="Emphasis">
    <w:name w:val="Emphasis"/>
    <w:basedOn w:val="DefaultParagraphFont"/>
    <w:uiPriority w:val="20"/>
    <w:qFormat/>
    <w:rsid w:val="00B24869"/>
    <w:rPr>
      <w:i/>
      <w:iCs/>
    </w:rPr>
  </w:style>
  <w:style w:type="character" w:customStyle="1" w:styleId="apple-converted-space">
    <w:name w:val="apple-converted-space"/>
    <w:basedOn w:val="DefaultParagraphFont"/>
    <w:rsid w:val="00B24869"/>
  </w:style>
  <w:style w:type="paragraph" w:customStyle="1" w:styleId="Default">
    <w:name w:val="Default"/>
    <w:rsid w:val="006A61BB"/>
    <w:pPr>
      <w:autoSpaceDE w:val="0"/>
      <w:autoSpaceDN w:val="0"/>
      <w:adjustRightInd w:val="0"/>
      <w:spacing w:after="0" w:line="240" w:lineRule="auto"/>
    </w:pPr>
    <w:rPr>
      <w:rFonts w:ascii="Arial" w:hAnsi="Arial" w:cs="Arial"/>
      <w:color w:val="000000"/>
      <w:sz w:val="24"/>
      <w:szCs w:val="24"/>
    </w:rPr>
  </w:style>
  <w:style w:type="character" w:customStyle="1" w:styleId="A6">
    <w:name w:val="A6"/>
    <w:uiPriority w:val="99"/>
    <w:rsid w:val="00450191"/>
    <w:rPr>
      <w:rFonts w:ascii="ScalaSans-Italic" w:hAnsi="ScalaSans-Italic" w:cs="ScalaSans-Italic"/>
      <w:color w:val="000000"/>
      <w:sz w:val="16"/>
      <w:szCs w:val="16"/>
    </w:rPr>
  </w:style>
  <w:style w:type="paragraph" w:styleId="BalloonText">
    <w:name w:val="Balloon Text"/>
    <w:basedOn w:val="Normal"/>
    <w:link w:val="BalloonTextChar"/>
    <w:uiPriority w:val="99"/>
    <w:semiHidden/>
    <w:unhideWhenUsed/>
    <w:rsid w:val="00341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24"/>
    <w:rPr>
      <w:rFonts w:ascii="Segoe UI" w:hAnsi="Segoe UI" w:cs="Segoe UI"/>
      <w:sz w:val="18"/>
      <w:szCs w:val="18"/>
    </w:rPr>
  </w:style>
  <w:style w:type="table" w:styleId="TableGrid">
    <w:name w:val="Table Grid"/>
    <w:basedOn w:val="TableNormal"/>
    <w:uiPriority w:val="39"/>
    <w:rsid w:val="00600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C36D4"/>
    <w:rPr>
      <w:b/>
      <w:bCs/>
    </w:rPr>
  </w:style>
  <w:style w:type="character" w:customStyle="1" w:styleId="il">
    <w:name w:val="il"/>
    <w:basedOn w:val="DefaultParagraphFont"/>
    <w:rsid w:val="00A163DE"/>
  </w:style>
  <w:style w:type="character" w:styleId="PlaceholderText">
    <w:name w:val="Placeholder Text"/>
    <w:basedOn w:val="DefaultParagraphFont"/>
    <w:uiPriority w:val="99"/>
    <w:semiHidden/>
    <w:rsid w:val="002A6A0B"/>
    <w:rPr>
      <w:color w:val="808080"/>
    </w:rPr>
  </w:style>
  <w:style w:type="paragraph" w:customStyle="1" w:styleId="Bullet">
    <w:name w:val="Bullet"/>
    <w:basedOn w:val="Normal"/>
    <w:qFormat/>
    <w:rsid w:val="00281985"/>
    <w:pPr>
      <w:numPr>
        <w:numId w:val="3"/>
      </w:numPr>
      <w:spacing w:before="90" w:after="0" w:line="264" w:lineRule="auto"/>
    </w:pPr>
    <w:rPr>
      <w:rFonts w:ascii="Georgia" w:eastAsia="Times New Roman" w:hAnsi="Georgia" w:cs="Times New Roman"/>
      <w:szCs w:val="20"/>
      <w:lang w:eastAsia="en-GB"/>
    </w:rPr>
  </w:style>
  <w:style w:type="paragraph" w:styleId="TOC4">
    <w:name w:val="toc 4"/>
    <w:basedOn w:val="Normal"/>
    <w:next w:val="Normal"/>
    <w:autoRedefine/>
    <w:uiPriority w:val="39"/>
    <w:unhideWhenUsed/>
    <w:rsid w:val="006A3A3C"/>
    <w:pPr>
      <w:spacing w:after="0"/>
      <w:ind w:left="660"/>
    </w:pPr>
    <w:rPr>
      <w:rFonts w:cs="Times New Roman"/>
      <w:sz w:val="20"/>
      <w:szCs w:val="24"/>
    </w:rPr>
  </w:style>
  <w:style w:type="paragraph" w:styleId="TOC5">
    <w:name w:val="toc 5"/>
    <w:basedOn w:val="Normal"/>
    <w:next w:val="Normal"/>
    <w:autoRedefine/>
    <w:uiPriority w:val="39"/>
    <w:unhideWhenUsed/>
    <w:rsid w:val="006A3A3C"/>
    <w:pPr>
      <w:spacing w:after="0"/>
      <w:ind w:left="880"/>
    </w:pPr>
    <w:rPr>
      <w:rFonts w:cs="Times New Roman"/>
      <w:sz w:val="20"/>
      <w:szCs w:val="24"/>
    </w:rPr>
  </w:style>
  <w:style w:type="paragraph" w:styleId="TOC6">
    <w:name w:val="toc 6"/>
    <w:basedOn w:val="Normal"/>
    <w:next w:val="Normal"/>
    <w:autoRedefine/>
    <w:uiPriority w:val="39"/>
    <w:unhideWhenUsed/>
    <w:rsid w:val="006A3A3C"/>
    <w:pPr>
      <w:spacing w:after="0"/>
      <w:ind w:left="1100"/>
    </w:pPr>
    <w:rPr>
      <w:rFonts w:cs="Times New Roman"/>
      <w:sz w:val="20"/>
      <w:szCs w:val="24"/>
    </w:rPr>
  </w:style>
  <w:style w:type="paragraph" w:styleId="TOC7">
    <w:name w:val="toc 7"/>
    <w:basedOn w:val="Normal"/>
    <w:next w:val="Normal"/>
    <w:autoRedefine/>
    <w:uiPriority w:val="39"/>
    <w:unhideWhenUsed/>
    <w:rsid w:val="006A3A3C"/>
    <w:pPr>
      <w:spacing w:after="0"/>
      <w:ind w:left="1320"/>
    </w:pPr>
    <w:rPr>
      <w:rFonts w:cs="Times New Roman"/>
      <w:sz w:val="20"/>
      <w:szCs w:val="24"/>
    </w:rPr>
  </w:style>
  <w:style w:type="paragraph" w:styleId="TOC8">
    <w:name w:val="toc 8"/>
    <w:basedOn w:val="Normal"/>
    <w:next w:val="Normal"/>
    <w:autoRedefine/>
    <w:uiPriority w:val="39"/>
    <w:unhideWhenUsed/>
    <w:rsid w:val="006A3A3C"/>
    <w:pPr>
      <w:spacing w:after="0"/>
      <w:ind w:left="1540"/>
    </w:pPr>
    <w:rPr>
      <w:rFonts w:cs="Times New Roman"/>
      <w:sz w:val="20"/>
      <w:szCs w:val="24"/>
    </w:rPr>
  </w:style>
  <w:style w:type="paragraph" w:styleId="TOC9">
    <w:name w:val="toc 9"/>
    <w:basedOn w:val="Normal"/>
    <w:next w:val="Normal"/>
    <w:autoRedefine/>
    <w:uiPriority w:val="39"/>
    <w:unhideWhenUsed/>
    <w:rsid w:val="006A3A3C"/>
    <w:pPr>
      <w:spacing w:after="0"/>
      <w:ind w:left="1760"/>
    </w:pPr>
    <w:rPr>
      <w:rFonts w:cs="Times New Roman"/>
      <w:sz w:val="20"/>
      <w:szCs w:val="24"/>
    </w:rPr>
  </w:style>
  <w:style w:type="character" w:customStyle="1" w:styleId="hlite">
    <w:name w:val="hlite"/>
    <w:basedOn w:val="DefaultParagraphFont"/>
    <w:rsid w:val="00F0060E"/>
  </w:style>
  <w:style w:type="character" w:styleId="CommentReference">
    <w:name w:val="annotation reference"/>
    <w:basedOn w:val="DefaultParagraphFont"/>
    <w:uiPriority w:val="99"/>
    <w:semiHidden/>
    <w:unhideWhenUsed/>
    <w:rsid w:val="00F0060E"/>
    <w:rPr>
      <w:sz w:val="16"/>
      <w:szCs w:val="16"/>
    </w:rPr>
  </w:style>
  <w:style w:type="paragraph" w:styleId="CommentText">
    <w:name w:val="annotation text"/>
    <w:basedOn w:val="Normal"/>
    <w:link w:val="CommentTextChar"/>
    <w:uiPriority w:val="99"/>
    <w:semiHidden/>
    <w:unhideWhenUsed/>
    <w:rsid w:val="00F0060E"/>
    <w:pPr>
      <w:spacing w:after="20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F0060E"/>
    <w:rPr>
      <w:rFonts w:eastAsiaTheme="minorHAnsi"/>
      <w:sz w:val="20"/>
      <w:szCs w:val="20"/>
      <w:lang w:eastAsia="en-US"/>
    </w:rPr>
  </w:style>
  <w:style w:type="character" w:customStyle="1" w:styleId="DocumentMapChar">
    <w:name w:val="Document Map Char"/>
    <w:basedOn w:val="DefaultParagraphFont"/>
    <w:link w:val="DocumentMap"/>
    <w:uiPriority w:val="99"/>
    <w:semiHidden/>
    <w:rsid w:val="009862A4"/>
    <w:rPr>
      <w:rFonts w:ascii="Lucida Grande" w:hAnsi="Lucida Grande" w:cs="Lucida Grande"/>
      <w:sz w:val="24"/>
      <w:szCs w:val="24"/>
    </w:rPr>
  </w:style>
  <w:style w:type="paragraph" w:styleId="DocumentMap">
    <w:name w:val="Document Map"/>
    <w:basedOn w:val="Normal"/>
    <w:link w:val="DocumentMapChar"/>
    <w:uiPriority w:val="99"/>
    <w:semiHidden/>
    <w:unhideWhenUsed/>
    <w:rsid w:val="009862A4"/>
    <w:pPr>
      <w:spacing w:after="0" w:line="240" w:lineRule="auto"/>
    </w:pPr>
    <w:rPr>
      <w:rFonts w:ascii="Lucida Grande" w:hAnsi="Lucida Grande" w:cs="Lucida Grande"/>
      <w:sz w:val="24"/>
      <w:szCs w:val="24"/>
    </w:rPr>
  </w:style>
  <w:style w:type="character" w:customStyle="1" w:styleId="CommentSubjectChar">
    <w:name w:val="Comment Subject Char"/>
    <w:basedOn w:val="CommentTextChar"/>
    <w:link w:val="CommentSubject"/>
    <w:uiPriority w:val="99"/>
    <w:semiHidden/>
    <w:rsid w:val="009862A4"/>
    <w:rPr>
      <w:rFonts w:eastAsiaTheme="minorHAnsi"/>
      <w:b/>
      <w:bCs/>
      <w:sz w:val="20"/>
      <w:szCs w:val="20"/>
      <w:lang w:eastAsia="en-US"/>
    </w:rPr>
  </w:style>
  <w:style w:type="paragraph" w:styleId="CommentSubject">
    <w:name w:val="annotation subject"/>
    <w:basedOn w:val="CommentText"/>
    <w:next w:val="CommentText"/>
    <w:link w:val="CommentSubjectChar"/>
    <w:uiPriority w:val="99"/>
    <w:semiHidden/>
    <w:unhideWhenUsed/>
    <w:rsid w:val="009862A4"/>
    <w:pPr>
      <w:spacing w:after="160"/>
    </w:pPr>
    <w:rPr>
      <w:rFonts w:eastAsiaTheme="minorEastAsia"/>
      <w:b/>
      <w:bCs/>
      <w:lang w:eastAsia="zh-CN"/>
    </w:rPr>
  </w:style>
  <w:style w:type="character" w:customStyle="1" w:styleId="BalloonTextChar1">
    <w:name w:val="Balloon Text Char1"/>
    <w:basedOn w:val="DefaultParagraphFont"/>
    <w:uiPriority w:val="99"/>
    <w:semiHidden/>
    <w:rsid w:val="00A81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12">
      <w:bodyDiv w:val="1"/>
      <w:marLeft w:val="0"/>
      <w:marRight w:val="0"/>
      <w:marTop w:val="0"/>
      <w:marBottom w:val="0"/>
      <w:divBdr>
        <w:top w:val="none" w:sz="0" w:space="0" w:color="auto"/>
        <w:left w:val="none" w:sz="0" w:space="0" w:color="auto"/>
        <w:bottom w:val="none" w:sz="0" w:space="0" w:color="auto"/>
        <w:right w:val="none" w:sz="0" w:space="0" w:color="auto"/>
      </w:divBdr>
    </w:div>
    <w:div w:id="6374844">
      <w:bodyDiv w:val="1"/>
      <w:marLeft w:val="0"/>
      <w:marRight w:val="0"/>
      <w:marTop w:val="0"/>
      <w:marBottom w:val="0"/>
      <w:divBdr>
        <w:top w:val="none" w:sz="0" w:space="0" w:color="auto"/>
        <w:left w:val="none" w:sz="0" w:space="0" w:color="auto"/>
        <w:bottom w:val="none" w:sz="0" w:space="0" w:color="auto"/>
        <w:right w:val="none" w:sz="0" w:space="0" w:color="auto"/>
      </w:divBdr>
    </w:div>
    <w:div w:id="31419504">
      <w:bodyDiv w:val="1"/>
      <w:marLeft w:val="0"/>
      <w:marRight w:val="0"/>
      <w:marTop w:val="0"/>
      <w:marBottom w:val="0"/>
      <w:divBdr>
        <w:top w:val="none" w:sz="0" w:space="0" w:color="auto"/>
        <w:left w:val="none" w:sz="0" w:space="0" w:color="auto"/>
        <w:bottom w:val="none" w:sz="0" w:space="0" w:color="auto"/>
        <w:right w:val="none" w:sz="0" w:space="0" w:color="auto"/>
      </w:divBdr>
    </w:div>
    <w:div w:id="38208177">
      <w:bodyDiv w:val="1"/>
      <w:marLeft w:val="0"/>
      <w:marRight w:val="0"/>
      <w:marTop w:val="0"/>
      <w:marBottom w:val="0"/>
      <w:divBdr>
        <w:top w:val="none" w:sz="0" w:space="0" w:color="auto"/>
        <w:left w:val="none" w:sz="0" w:space="0" w:color="auto"/>
        <w:bottom w:val="none" w:sz="0" w:space="0" w:color="auto"/>
        <w:right w:val="none" w:sz="0" w:space="0" w:color="auto"/>
      </w:divBdr>
    </w:div>
    <w:div w:id="52196516">
      <w:bodyDiv w:val="1"/>
      <w:marLeft w:val="0"/>
      <w:marRight w:val="0"/>
      <w:marTop w:val="0"/>
      <w:marBottom w:val="0"/>
      <w:divBdr>
        <w:top w:val="none" w:sz="0" w:space="0" w:color="auto"/>
        <w:left w:val="none" w:sz="0" w:space="0" w:color="auto"/>
        <w:bottom w:val="none" w:sz="0" w:space="0" w:color="auto"/>
        <w:right w:val="none" w:sz="0" w:space="0" w:color="auto"/>
      </w:divBdr>
    </w:div>
    <w:div w:id="54359245">
      <w:bodyDiv w:val="1"/>
      <w:marLeft w:val="0"/>
      <w:marRight w:val="0"/>
      <w:marTop w:val="0"/>
      <w:marBottom w:val="0"/>
      <w:divBdr>
        <w:top w:val="none" w:sz="0" w:space="0" w:color="auto"/>
        <w:left w:val="none" w:sz="0" w:space="0" w:color="auto"/>
        <w:bottom w:val="none" w:sz="0" w:space="0" w:color="auto"/>
        <w:right w:val="none" w:sz="0" w:space="0" w:color="auto"/>
      </w:divBdr>
    </w:div>
    <w:div w:id="58481686">
      <w:bodyDiv w:val="1"/>
      <w:marLeft w:val="0"/>
      <w:marRight w:val="0"/>
      <w:marTop w:val="0"/>
      <w:marBottom w:val="0"/>
      <w:divBdr>
        <w:top w:val="none" w:sz="0" w:space="0" w:color="auto"/>
        <w:left w:val="none" w:sz="0" w:space="0" w:color="auto"/>
        <w:bottom w:val="none" w:sz="0" w:space="0" w:color="auto"/>
        <w:right w:val="none" w:sz="0" w:space="0" w:color="auto"/>
      </w:divBdr>
    </w:div>
    <w:div w:id="64107329">
      <w:bodyDiv w:val="1"/>
      <w:marLeft w:val="0"/>
      <w:marRight w:val="0"/>
      <w:marTop w:val="0"/>
      <w:marBottom w:val="0"/>
      <w:divBdr>
        <w:top w:val="none" w:sz="0" w:space="0" w:color="auto"/>
        <w:left w:val="none" w:sz="0" w:space="0" w:color="auto"/>
        <w:bottom w:val="none" w:sz="0" w:space="0" w:color="auto"/>
        <w:right w:val="none" w:sz="0" w:space="0" w:color="auto"/>
      </w:divBdr>
    </w:div>
    <w:div w:id="123238806">
      <w:bodyDiv w:val="1"/>
      <w:marLeft w:val="0"/>
      <w:marRight w:val="0"/>
      <w:marTop w:val="0"/>
      <w:marBottom w:val="0"/>
      <w:divBdr>
        <w:top w:val="none" w:sz="0" w:space="0" w:color="auto"/>
        <w:left w:val="none" w:sz="0" w:space="0" w:color="auto"/>
        <w:bottom w:val="none" w:sz="0" w:space="0" w:color="auto"/>
        <w:right w:val="none" w:sz="0" w:space="0" w:color="auto"/>
      </w:divBdr>
    </w:div>
    <w:div w:id="124205424">
      <w:bodyDiv w:val="1"/>
      <w:marLeft w:val="0"/>
      <w:marRight w:val="0"/>
      <w:marTop w:val="0"/>
      <w:marBottom w:val="0"/>
      <w:divBdr>
        <w:top w:val="none" w:sz="0" w:space="0" w:color="auto"/>
        <w:left w:val="none" w:sz="0" w:space="0" w:color="auto"/>
        <w:bottom w:val="none" w:sz="0" w:space="0" w:color="auto"/>
        <w:right w:val="none" w:sz="0" w:space="0" w:color="auto"/>
      </w:divBdr>
    </w:div>
    <w:div w:id="131754342">
      <w:bodyDiv w:val="1"/>
      <w:marLeft w:val="0"/>
      <w:marRight w:val="0"/>
      <w:marTop w:val="0"/>
      <w:marBottom w:val="0"/>
      <w:divBdr>
        <w:top w:val="none" w:sz="0" w:space="0" w:color="auto"/>
        <w:left w:val="none" w:sz="0" w:space="0" w:color="auto"/>
        <w:bottom w:val="none" w:sz="0" w:space="0" w:color="auto"/>
        <w:right w:val="none" w:sz="0" w:space="0" w:color="auto"/>
      </w:divBdr>
    </w:div>
    <w:div w:id="139155930">
      <w:bodyDiv w:val="1"/>
      <w:marLeft w:val="0"/>
      <w:marRight w:val="0"/>
      <w:marTop w:val="0"/>
      <w:marBottom w:val="0"/>
      <w:divBdr>
        <w:top w:val="none" w:sz="0" w:space="0" w:color="auto"/>
        <w:left w:val="none" w:sz="0" w:space="0" w:color="auto"/>
        <w:bottom w:val="none" w:sz="0" w:space="0" w:color="auto"/>
        <w:right w:val="none" w:sz="0" w:space="0" w:color="auto"/>
      </w:divBdr>
    </w:div>
    <w:div w:id="140539823">
      <w:bodyDiv w:val="1"/>
      <w:marLeft w:val="0"/>
      <w:marRight w:val="0"/>
      <w:marTop w:val="0"/>
      <w:marBottom w:val="0"/>
      <w:divBdr>
        <w:top w:val="none" w:sz="0" w:space="0" w:color="auto"/>
        <w:left w:val="none" w:sz="0" w:space="0" w:color="auto"/>
        <w:bottom w:val="none" w:sz="0" w:space="0" w:color="auto"/>
        <w:right w:val="none" w:sz="0" w:space="0" w:color="auto"/>
      </w:divBdr>
    </w:div>
    <w:div w:id="144661137">
      <w:bodyDiv w:val="1"/>
      <w:marLeft w:val="0"/>
      <w:marRight w:val="0"/>
      <w:marTop w:val="0"/>
      <w:marBottom w:val="0"/>
      <w:divBdr>
        <w:top w:val="none" w:sz="0" w:space="0" w:color="auto"/>
        <w:left w:val="none" w:sz="0" w:space="0" w:color="auto"/>
        <w:bottom w:val="none" w:sz="0" w:space="0" w:color="auto"/>
        <w:right w:val="none" w:sz="0" w:space="0" w:color="auto"/>
      </w:divBdr>
    </w:div>
    <w:div w:id="155346528">
      <w:bodyDiv w:val="1"/>
      <w:marLeft w:val="0"/>
      <w:marRight w:val="0"/>
      <w:marTop w:val="0"/>
      <w:marBottom w:val="0"/>
      <w:divBdr>
        <w:top w:val="none" w:sz="0" w:space="0" w:color="auto"/>
        <w:left w:val="none" w:sz="0" w:space="0" w:color="auto"/>
        <w:bottom w:val="none" w:sz="0" w:space="0" w:color="auto"/>
        <w:right w:val="none" w:sz="0" w:space="0" w:color="auto"/>
      </w:divBdr>
    </w:div>
    <w:div w:id="218980778">
      <w:bodyDiv w:val="1"/>
      <w:marLeft w:val="0"/>
      <w:marRight w:val="0"/>
      <w:marTop w:val="0"/>
      <w:marBottom w:val="0"/>
      <w:divBdr>
        <w:top w:val="none" w:sz="0" w:space="0" w:color="auto"/>
        <w:left w:val="none" w:sz="0" w:space="0" w:color="auto"/>
        <w:bottom w:val="none" w:sz="0" w:space="0" w:color="auto"/>
        <w:right w:val="none" w:sz="0" w:space="0" w:color="auto"/>
      </w:divBdr>
    </w:div>
    <w:div w:id="219219406">
      <w:bodyDiv w:val="1"/>
      <w:marLeft w:val="0"/>
      <w:marRight w:val="0"/>
      <w:marTop w:val="0"/>
      <w:marBottom w:val="0"/>
      <w:divBdr>
        <w:top w:val="none" w:sz="0" w:space="0" w:color="auto"/>
        <w:left w:val="none" w:sz="0" w:space="0" w:color="auto"/>
        <w:bottom w:val="none" w:sz="0" w:space="0" w:color="auto"/>
        <w:right w:val="none" w:sz="0" w:space="0" w:color="auto"/>
      </w:divBdr>
    </w:div>
    <w:div w:id="220868452">
      <w:bodyDiv w:val="1"/>
      <w:marLeft w:val="0"/>
      <w:marRight w:val="0"/>
      <w:marTop w:val="0"/>
      <w:marBottom w:val="0"/>
      <w:divBdr>
        <w:top w:val="none" w:sz="0" w:space="0" w:color="auto"/>
        <w:left w:val="none" w:sz="0" w:space="0" w:color="auto"/>
        <w:bottom w:val="none" w:sz="0" w:space="0" w:color="auto"/>
        <w:right w:val="none" w:sz="0" w:space="0" w:color="auto"/>
      </w:divBdr>
    </w:div>
    <w:div w:id="229192600">
      <w:bodyDiv w:val="1"/>
      <w:marLeft w:val="0"/>
      <w:marRight w:val="0"/>
      <w:marTop w:val="0"/>
      <w:marBottom w:val="0"/>
      <w:divBdr>
        <w:top w:val="none" w:sz="0" w:space="0" w:color="auto"/>
        <w:left w:val="none" w:sz="0" w:space="0" w:color="auto"/>
        <w:bottom w:val="none" w:sz="0" w:space="0" w:color="auto"/>
        <w:right w:val="none" w:sz="0" w:space="0" w:color="auto"/>
      </w:divBdr>
    </w:div>
    <w:div w:id="241985613">
      <w:bodyDiv w:val="1"/>
      <w:marLeft w:val="0"/>
      <w:marRight w:val="0"/>
      <w:marTop w:val="0"/>
      <w:marBottom w:val="0"/>
      <w:divBdr>
        <w:top w:val="none" w:sz="0" w:space="0" w:color="auto"/>
        <w:left w:val="none" w:sz="0" w:space="0" w:color="auto"/>
        <w:bottom w:val="none" w:sz="0" w:space="0" w:color="auto"/>
        <w:right w:val="none" w:sz="0" w:space="0" w:color="auto"/>
      </w:divBdr>
    </w:div>
    <w:div w:id="255484533">
      <w:bodyDiv w:val="1"/>
      <w:marLeft w:val="0"/>
      <w:marRight w:val="0"/>
      <w:marTop w:val="0"/>
      <w:marBottom w:val="0"/>
      <w:divBdr>
        <w:top w:val="none" w:sz="0" w:space="0" w:color="auto"/>
        <w:left w:val="none" w:sz="0" w:space="0" w:color="auto"/>
        <w:bottom w:val="none" w:sz="0" w:space="0" w:color="auto"/>
        <w:right w:val="none" w:sz="0" w:space="0" w:color="auto"/>
      </w:divBdr>
    </w:div>
    <w:div w:id="260185274">
      <w:bodyDiv w:val="1"/>
      <w:marLeft w:val="0"/>
      <w:marRight w:val="0"/>
      <w:marTop w:val="0"/>
      <w:marBottom w:val="0"/>
      <w:divBdr>
        <w:top w:val="none" w:sz="0" w:space="0" w:color="auto"/>
        <w:left w:val="none" w:sz="0" w:space="0" w:color="auto"/>
        <w:bottom w:val="none" w:sz="0" w:space="0" w:color="auto"/>
        <w:right w:val="none" w:sz="0" w:space="0" w:color="auto"/>
      </w:divBdr>
    </w:div>
    <w:div w:id="266812587">
      <w:bodyDiv w:val="1"/>
      <w:marLeft w:val="0"/>
      <w:marRight w:val="0"/>
      <w:marTop w:val="0"/>
      <w:marBottom w:val="0"/>
      <w:divBdr>
        <w:top w:val="none" w:sz="0" w:space="0" w:color="auto"/>
        <w:left w:val="none" w:sz="0" w:space="0" w:color="auto"/>
        <w:bottom w:val="none" w:sz="0" w:space="0" w:color="auto"/>
        <w:right w:val="none" w:sz="0" w:space="0" w:color="auto"/>
      </w:divBdr>
    </w:div>
    <w:div w:id="276107098">
      <w:bodyDiv w:val="1"/>
      <w:marLeft w:val="0"/>
      <w:marRight w:val="0"/>
      <w:marTop w:val="0"/>
      <w:marBottom w:val="0"/>
      <w:divBdr>
        <w:top w:val="none" w:sz="0" w:space="0" w:color="auto"/>
        <w:left w:val="none" w:sz="0" w:space="0" w:color="auto"/>
        <w:bottom w:val="none" w:sz="0" w:space="0" w:color="auto"/>
        <w:right w:val="none" w:sz="0" w:space="0" w:color="auto"/>
      </w:divBdr>
    </w:div>
    <w:div w:id="278925010">
      <w:bodyDiv w:val="1"/>
      <w:marLeft w:val="0"/>
      <w:marRight w:val="0"/>
      <w:marTop w:val="0"/>
      <w:marBottom w:val="0"/>
      <w:divBdr>
        <w:top w:val="none" w:sz="0" w:space="0" w:color="auto"/>
        <w:left w:val="none" w:sz="0" w:space="0" w:color="auto"/>
        <w:bottom w:val="none" w:sz="0" w:space="0" w:color="auto"/>
        <w:right w:val="none" w:sz="0" w:space="0" w:color="auto"/>
      </w:divBdr>
    </w:div>
    <w:div w:id="280764257">
      <w:bodyDiv w:val="1"/>
      <w:marLeft w:val="0"/>
      <w:marRight w:val="0"/>
      <w:marTop w:val="0"/>
      <w:marBottom w:val="0"/>
      <w:divBdr>
        <w:top w:val="none" w:sz="0" w:space="0" w:color="auto"/>
        <w:left w:val="none" w:sz="0" w:space="0" w:color="auto"/>
        <w:bottom w:val="none" w:sz="0" w:space="0" w:color="auto"/>
        <w:right w:val="none" w:sz="0" w:space="0" w:color="auto"/>
      </w:divBdr>
    </w:div>
    <w:div w:id="284314290">
      <w:bodyDiv w:val="1"/>
      <w:marLeft w:val="0"/>
      <w:marRight w:val="0"/>
      <w:marTop w:val="0"/>
      <w:marBottom w:val="0"/>
      <w:divBdr>
        <w:top w:val="none" w:sz="0" w:space="0" w:color="auto"/>
        <w:left w:val="none" w:sz="0" w:space="0" w:color="auto"/>
        <w:bottom w:val="none" w:sz="0" w:space="0" w:color="auto"/>
        <w:right w:val="none" w:sz="0" w:space="0" w:color="auto"/>
      </w:divBdr>
    </w:div>
    <w:div w:id="292832835">
      <w:bodyDiv w:val="1"/>
      <w:marLeft w:val="0"/>
      <w:marRight w:val="0"/>
      <w:marTop w:val="0"/>
      <w:marBottom w:val="0"/>
      <w:divBdr>
        <w:top w:val="none" w:sz="0" w:space="0" w:color="auto"/>
        <w:left w:val="none" w:sz="0" w:space="0" w:color="auto"/>
        <w:bottom w:val="none" w:sz="0" w:space="0" w:color="auto"/>
        <w:right w:val="none" w:sz="0" w:space="0" w:color="auto"/>
      </w:divBdr>
    </w:div>
    <w:div w:id="293217356">
      <w:bodyDiv w:val="1"/>
      <w:marLeft w:val="0"/>
      <w:marRight w:val="0"/>
      <w:marTop w:val="0"/>
      <w:marBottom w:val="0"/>
      <w:divBdr>
        <w:top w:val="none" w:sz="0" w:space="0" w:color="auto"/>
        <w:left w:val="none" w:sz="0" w:space="0" w:color="auto"/>
        <w:bottom w:val="none" w:sz="0" w:space="0" w:color="auto"/>
        <w:right w:val="none" w:sz="0" w:space="0" w:color="auto"/>
      </w:divBdr>
      <w:divsChild>
        <w:div w:id="986666637">
          <w:marLeft w:val="0"/>
          <w:marRight w:val="0"/>
          <w:marTop w:val="0"/>
          <w:marBottom w:val="0"/>
          <w:divBdr>
            <w:top w:val="none" w:sz="0" w:space="0" w:color="auto"/>
            <w:left w:val="none" w:sz="0" w:space="0" w:color="auto"/>
            <w:bottom w:val="none" w:sz="0" w:space="0" w:color="auto"/>
            <w:right w:val="none" w:sz="0" w:space="0" w:color="auto"/>
          </w:divBdr>
        </w:div>
        <w:div w:id="1060908634">
          <w:marLeft w:val="0"/>
          <w:marRight w:val="0"/>
          <w:marTop w:val="0"/>
          <w:marBottom w:val="0"/>
          <w:divBdr>
            <w:top w:val="none" w:sz="0" w:space="0" w:color="auto"/>
            <w:left w:val="none" w:sz="0" w:space="0" w:color="auto"/>
            <w:bottom w:val="none" w:sz="0" w:space="0" w:color="auto"/>
            <w:right w:val="none" w:sz="0" w:space="0" w:color="auto"/>
          </w:divBdr>
        </w:div>
      </w:divsChild>
    </w:div>
    <w:div w:id="302080594">
      <w:bodyDiv w:val="1"/>
      <w:marLeft w:val="0"/>
      <w:marRight w:val="0"/>
      <w:marTop w:val="0"/>
      <w:marBottom w:val="0"/>
      <w:divBdr>
        <w:top w:val="none" w:sz="0" w:space="0" w:color="auto"/>
        <w:left w:val="none" w:sz="0" w:space="0" w:color="auto"/>
        <w:bottom w:val="none" w:sz="0" w:space="0" w:color="auto"/>
        <w:right w:val="none" w:sz="0" w:space="0" w:color="auto"/>
      </w:divBdr>
    </w:div>
    <w:div w:id="303122272">
      <w:bodyDiv w:val="1"/>
      <w:marLeft w:val="0"/>
      <w:marRight w:val="0"/>
      <w:marTop w:val="0"/>
      <w:marBottom w:val="0"/>
      <w:divBdr>
        <w:top w:val="none" w:sz="0" w:space="0" w:color="auto"/>
        <w:left w:val="none" w:sz="0" w:space="0" w:color="auto"/>
        <w:bottom w:val="none" w:sz="0" w:space="0" w:color="auto"/>
        <w:right w:val="none" w:sz="0" w:space="0" w:color="auto"/>
      </w:divBdr>
    </w:div>
    <w:div w:id="308096132">
      <w:bodyDiv w:val="1"/>
      <w:marLeft w:val="0"/>
      <w:marRight w:val="0"/>
      <w:marTop w:val="0"/>
      <w:marBottom w:val="0"/>
      <w:divBdr>
        <w:top w:val="none" w:sz="0" w:space="0" w:color="auto"/>
        <w:left w:val="none" w:sz="0" w:space="0" w:color="auto"/>
        <w:bottom w:val="none" w:sz="0" w:space="0" w:color="auto"/>
        <w:right w:val="none" w:sz="0" w:space="0" w:color="auto"/>
      </w:divBdr>
    </w:div>
    <w:div w:id="320475143">
      <w:bodyDiv w:val="1"/>
      <w:marLeft w:val="0"/>
      <w:marRight w:val="0"/>
      <w:marTop w:val="0"/>
      <w:marBottom w:val="0"/>
      <w:divBdr>
        <w:top w:val="none" w:sz="0" w:space="0" w:color="auto"/>
        <w:left w:val="none" w:sz="0" w:space="0" w:color="auto"/>
        <w:bottom w:val="none" w:sz="0" w:space="0" w:color="auto"/>
        <w:right w:val="none" w:sz="0" w:space="0" w:color="auto"/>
      </w:divBdr>
    </w:div>
    <w:div w:id="324556831">
      <w:bodyDiv w:val="1"/>
      <w:marLeft w:val="0"/>
      <w:marRight w:val="0"/>
      <w:marTop w:val="0"/>
      <w:marBottom w:val="0"/>
      <w:divBdr>
        <w:top w:val="none" w:sz="0" w:space="0" w:color="auto"/>
        <w:left w:val="none" w:sz="0" w:space="0" w:color="auto"/>
        <w:bottom w:val="none" w:sz="0" w:space="0" w:color="auto"/>
        <w:right w:val="none" w:sz="0" w:space="0" w:color="auto"/>
      </w:divBdr>
    </w:div>
    <w:div w:id="335235728">
      <w:bodyDiv w:val="1"/>
      <w:marLeft w:val="0"/>
      <w:marRight w:val="0"/>
      <w:marTop w:val="0"/>
      <w:marBottom w:val="0"/>
      <w:divBdr>
        <w:top w:val="none" w:sz="0" w:space="0" w:color="auto"/>
        <w:left w:val="none" w:sz="0" w:space="0" w:color="auto"/>
        <w:bottom w:val="none" w:sz="0" w:space="0" w:color="auto"/>
        <w:right w:val="none" w:sz="0" w:space="0" w:color="auto"/>
      </w:divBdr>
    </w:div>
    <w:div w:id="342241479">
      <w:bodyDiv w:val="1"/>
      <w:marLeft w:val="0"/>
      <w:marRight w:val="0"/>
      <w:marTop w:val="0"/>
      <w:marBottom w:val="0"/>
      <w:divBdr>
        <w:top w:val="none" w:sz="0" w:space="0" w:color="auto"/>
        <w:left w:val="none" w:sz="0" w:space="0" w:color="auto"/>
        <w:bottom w:val="none" w:sz="0" w:space="0" w:color="auto"/>
        <w:right w:val="none" w:sz="0" w:space="0" w:color="auto"/>
      </w:divBdr>
    </w:div>
    <w:div w:id="353845854">
      <w:bodyDiv w:val="1"/>
      <w:marLeft w:val="0"/>
      <w:marRight w:val="0"/>
      <w:marTop w:val="0"/>
      <w:marBottom w:val="0"/>
      <w:divBdr>
        <w:top w:val="none" w:sz="0" w:space="0" w:color="auto"/>
        <w:left w:val="none" w:sz="0" w:space="0" w:color="auto"/>
        <w:bottom w:val="none" w:sz="0" w:space="0" w:color="auto"/>
        <w:right w:val="none" w:sz="0" w:space="0" w:color="auto"/>
      </w:divBdr>
    </w:div>
    <w:div w:id="375393254">
      <w:bodyDiv w:val="1"/>
      <w:marLeft w:val="0"/>
      <w:marRight w:val="0"/>
      <w:marTop w:val="0"/>
      <w:marBottom w:val="0"/>
      <w:divBdr>
        <w:top w:val="none" w:sz="0" w:space="0" w:color="auto"/>
        <w:left w:val="none" w:sz="0" w:space="0" w:color="auto"/>
        <w:bottom w:val="none" w:sz="0" w:space="0" w:color="auto"/>
        <w:right w:val="none" w:sz="0" w:space="0" w:color="auto"/>
      </w:divBdr>
    </w:div>
    <w:div w:id="379331202">
      <w:bodyDiv w:val="1"/>
      <w:marLeft w:val="0"/>
      <w:marRight w:val="0"/>
      <w:marTop w:val="0"/>
      <w:marBottom w:val="0"/>
      <w:divBdr>
        <w:top w:val="none" w:sz="0" w:space="0" w:color="auto"/>
        <w:left w:val="none" w:sz="0" w:space="0" w:color="auto"/>
        <w:bottom w:val="none" w:sz="0" w:space="0" w:color="auto"/>
        <w:right w:val="none" w:sz="0" w:space="0" w:color="auto"/>
      </w:divBdr>
    </w:div>
    <w:div w:id="386689479">
      <w:bodyDiv w:val="1"/>
      <w:marLeft w:val="0"/>
      <w:marRight w:val="0"/>
      <w:marTop w:val="0"/>
      <w:marBottom w:val="0"/>
      <w:divBdr>
        <w:top w:val="none" w:sz="0" w:space="0" w:color="auto"/>
        <w:left w:val="none" w:sz="0" w:space="0" w:color="auto"/>
        <w:bottom w:val="none" w:sz="0" w:space="0" w:color="auto"/>
        <w:right w:val="none" w:sz="0" w:space="0" w:color="auto"/>
      </w:divBdr>
    </w:div>
    <w:div w:id="391389203">
      <w:bodyDiv w:val="1"/>
      <w:marLeft w:val="0"/>
      <w:marRight w:val="0"/>
      <w:marTop w:val="0"/>
      <w:marBottom w:val="0"/>
      <w:divBdr>
        <w:top w:val="none" w:sz="0" w:space="0" w:color="auto"/>
        <w:left w:val="none" w:sz="0" w:space="0" w:color="auto"/>
        <w:bottom w:val="none" w:sz="0" w:space="0" w:color="auto"/>
        <w:right w:val="none" w:sz="0" w:space="0" w:color="auto"/>
      </w:divBdr>
    </w:div>
    <w:div w:id="394935570">
      <w:bodyDiv w:val="1"/>
      <w:marLeft w:val="0"/>
      <w:marRight w:val="0"/>
      <w:marTop w:val="0"/>
      <w:marBottom w:val="0"/>
      <w:divBdr>
        <w:top w:val="none" w:sz="0" w:space="0" w:color="auto"/>
        <w:left w:val="none" w:sz="0" w:space="0" w:color="auto"/>
        <w:bottom w:val="none" w:sz="0" w:space="0" w:color="auto"/>
        <w:right w:val="none" w:sz="0" w:space="0" w:color="auto"/>
      </w:divBdr>
    </w:div>
    <w:div w:id="403648061">
      <w:bodyDiv w:val="1"/>
      <w:marLeft w:val="0"/>
      <w:marRight w:val="0"/>
      <w:marTop w:val="0"/>
      <w:marBottom w:val="0"/>
      <w:divBdr>
        <w:top w:val="none" w:sz="0" w:space="0" w:color="auto"/>
        <w:left w:val="none" w:sz="0" w:space="0" w:color="auto"/>
        <w:bottom w:val="none" w:sz="0" w:space="0" w:color="auto"/>
        <w:right w:val="none" w:sz="0" w:space="0" w:color="auto"/>
      </w:divBdr>
    </w:div>
    <w:div w:id="408163171">
      <w:bodyDiv w:val="1"/>
      <w:marLeft w:val="0"/>
      <w:marRight w:val="0"/>
      <w:marTop w:val="0"/>
      <w:marBottom w:val="0"/>
      <w:divBdr>
        <w:top w:val="none" w:sz="0" w:space="0" w:color="auto"/>
        <w:left w:val="none" w:sz="0" w:space="0" w:color="auto"/>
        <w:bottom w:val="none" w:sz="0" w:space="0" w:color="auto"/>
        <w:right w:val="none" w:sz="0" w:space="0" w:color="auto"/>
      </w:divBdr>
    </w:div>
    <w:div w:id="408386916">
      <w:bodyDiv w:val="1"/>
      <w:marLeft w:val="0"/>
      <w:marRight w:val="0"/>
      <w:marTop w:val="0"/>
      <w:marBottom w:val="0"/>
      <w:divBdr>
        <w:top w:val="none" w:sz="0" w:space="0" w:color="auto"/>
        <w:left w:val="none" w:sz="0" w:space="0" w:color="auto"/>
        <w:bottom w:val="none" w:sz="0" w:space="0" w:color="auto"/>
        <w:right w:val="none" w:sz="0" w:space="0" w:color="auto"/>
      </w:divBdr>
    </w:div>
    <w:div w:id="408888641">
      <w:bodyDiv w:val="1"/>
      <w:marLeft w:val="0"/>
      <w:marRight w:val="0"/>
      <w:marTop w:val="0"/>
      <w:marBottom w:val="0"/>
      <w:divBdr>
        <w:top w:val="none" w:sz="0" w:space="0" w:color="auto"/>
        <w:left w:val="none" w:sz="0" w:space="0" w:color="auto"/>
        <w:bottom w:val="none" w:sz="0" w:space="0" w:color="auto"/>
        <w:right w:val="none" w:sz="0" w:space="0" w:color="auto"/>
      </w:divBdr>
    </w:div>
    <w:div w:id="421340670">
      <w:bodyDiv w:val="1"/>
      <w:marLeft w:val="0"/>
      <w:marRight w:val="0"/>
      <w:marTop w:val="0"/>
      <w:marBottom w:val="0"/>
      <w:divBdr>
        <w:top w:val="none" w:sz="0" w:space="0" w:color="auto"/>
        <w:left w:val="none" w:sz="0" w:space="0" w:color="auto"/>
        <w:bottom w:val="none" w:sz="0" w:space="0" w:color="auto"/>
        <w:right w:val="none" w:sz="0" w:space="0" w:color="auto"/>
      </w:divBdr>
    </w:div>
    <w:div w:id="434985244">
      <w:bodyDiv w:val="1"/>
      <w:marLeft w:val="0"/>
      <w:marRight w:val="0"/>
      <w:marTop w:val="0"/>
      <w:marBottom w:val="0"/>
      <w:divBdr>
        <w:top w:val="none" w:sz="0" w:space="0" w:color="auto"/>
        <w:left w:val="none" w:sz="0" w:space="0" w:color="auto"/>
        <w:bottom w:val="none" w:sz="0" w:space="0" w:color="auto"/>
        <w:right w:val="none" w:sz="0" w:space="0" w:color="auto"/>
      </w:divBdr>
    </w:div>
    <w:div w:id="454914211">
      <w:bodyDiv w:val="1"/>
      <w:marLeft w:val="0"/>
      <w:marRight w:val="0"/>
      <w:marTop w:val="0"/>
      <w:marBottom w:val="0"/>
      <w:divBdr>
        <w:top w:val="none" w:sz="0" w:space="0" w:color="auto"/>
        <w:left w:val="none" w:sz="0" w:space="0" w:color="auto"/>
        <w:bottom w:val="none" w:sz="0" w:space="0" w:color="auto"/>
        <w:right w:val="none" w:sz="0" w:space="0" w:color="auto"/>
      </w:divBdr>
    </w:div>
    <w:div w:id="465896253">
      <w:bodyDiv w:val="1"/>
      <w:marLeft w:val="0"/>
      <w:marRight w:val="0"/>
      <w:marTop w:val="0"/>
      <w:marBottom w:val="0"/>
      <w:divBdr>
        <w:top w:val="none" w:sz="0" w:space="0" w:color="auto"/>
        <w:left w:val="none" w:sz="0" w:space="0" w:color="auto"/>
        <w:bottom w:val="none" w:sz="0" w:space="0" w:color="auto"/>
        <w:right w:val="none" w:sz="0" w:space="0" w:color="auto"/>
      </w:divBdr>
    </w:div>
    <w:div w:id="473447729">
      <w:bodyDiv w:val="1"/>
      <w:marLeft w:val="0"/>
      <w:marRight w:val="0"/>
      <w:marTop w:val="0"/>
      <w:marBottom w:val="0"/>
      <w:divBdr>
        <w:top w:val="none" w:sz="0" w:space="0" w:color="auto"/>
        <w:left w:val="none" w:sz="0" w:space="0" w:color="auto"/>
        <w:bottom w:val="none" w:sz="0" w:space="0" w:color="auto"/>
        <w:right w:val="none" w:sz="0" w:space="0" w:color="auto"/>
      </w:divBdr>
    </w:div>
    <w:div w:id="481773705">
      <w:bodyDiv w:val="1"/>
      <w:marLeft w:val="0"/>
      <w:marRight w:val="0"/>
      <w:marTop w:val="0"/>
      <w:marBottom w:val="0"/>
      <w:divBdr>
        <w:top w:val="none" w:sz="0" w:space="0" w:color="auto"/>
        <w:left w:val="none" w:sz="0" w:space="0" w:color="auto"/>
        <w:bottom w:val="none" w:sz="0" w:space="0" w:color="auto"/>
        <w:right w:val="none" w:sz="0" w:space="0" w:color="auto"/>
      </w:divBdr>
    </w:div>
    <w:div w:id="483007847">
      <w:bodyDiv w:val="1"/>
      <w:marLeft w:val="0"/>
      <w:marRight w:val="0"/>
      <w:marTop w:val="0"/>
      <w:marBottom w:val="0"/>
      <w:divBdr>
        <w:top w:val="none" w:sz="0" w:space="0" w:color="auto"/>
        <w:left w:val="none" w:sz="0" w:space="0" w:color="auto"/>
        <w:bottom w:val="none" w:sz="0" w:space="0" w:color="auto"/>
        <w:right w:val="none" w:sz="0" w:space="0" w:color="auto"/>
      </w:divBdr>
    </w:div>
    <w:div w:id="524102950">
      <w:bodyDiv w:val="1"/>
      <w:marLeft w:val="0"/>
      <w:marRight w:val="0"/>
      <w:marTop w:val="0"/>
      <w:marBottom w:val="0"/>
      <w:divBdr>
        <w:top w:val="none" w:sz="0" w:space="0" w:color="auto"/>
        <w:left w:val="none" w:sz="0" w:space="0" w:color="auto"/>
        <w:bottom w:val="none" w:sz="0" w:space="0" w:color="auto"/>
        <w:right w:val="none" w:sz="0" w:space="0" w:color="auto"/>
      </w:divBdr>
    </w:div>
    <w:div w:id="544415469">
      <w:bodyDiv w:val="1"/>
      <w:marLeft w:val="0"/>
      <w:marRight w:val="0"/>
      <w:marTop w:val="0"/>
      <w:marBottom w:val="0"/>
      <w:divBdr>
        <w:top w:val="none" w:sz="0" w:space="0" w:color="auto"/>
        <w:left w:val="none" w:sz="0" w:space="0" w:color="auto"/>
        <w:bottom w:val="none" w:sz="0" w:space="0" w:color="auto"/>
        <w:right w:val="none" w:sz="0" w:space="0" w:color="auto"/>
      </w:divBdr>
    </w:div>
    <w:div w:id="549195220">
      <w:bodyDiv w:val="1"/>
      <w:marLeft w:val="0"/>
      <w:marRight w:val="0"/>
      <w:marTop w:val="0"/>
      <w:marBottom w:val="0"/>
      <w:divBdr>
        <w:top w:val="none" w:sz="0" w:space="0" w:color="auto"/>
        <w:left w:val="none" w:sz="0" w:space="0" w:color="auto"/>
        <w:bottom w:val="none" w:sz="0" w:space="0" w:color="auto"/>
        <w:right w:val="none" w:sz="0" w:space="0" w:color="auto"/>
      </w:divBdr>
    </w:div>
    <w:div w:id="551815260">
      <w:bodyDiv w:val="1"/>
      <w:marLeft w:val="0"/>
      <w:marRight w:val="0"/>
      <w:marTop w:val="0"/>
      <w:marBottom w:val="0"/>
      <w:divBdr>
        <w:top w:val="none" w:sz="0" w:space="0" w:color="auto"/>
        <w:left w:val="none" w:sz="0" w:space="0" w:color="auto"/>
        <w:bottom w:val="none" w:sz="0" w:space="0" w:color="auto"/>
        <w:right w:val="none" w:sz="0" w:space="0" w:color="auto"/>
      </w:divBdr>
    </w:div>
    <w:div w:id="554242657">
      <w:bodyDiv w:val="1"/>
      <w:marLeft w:val="0"/>
      <w:marRight w:val="0"/>
      <w:marTop w:val="0"/>
      <w:marBottom w:val="0"/>
      <w:divBdr>
        <w:top w:val="none" w:sz="0" w:space="0" w:color="auto"/>
        <w:left w:val="none" w:sz="0" w:space="0" w:color="auto"/>
        <w:bottom w:val="none" w:sz="0" w:space="0" w:color="auto"/>
        <w:right w:val="none" w:sz="0" w:space="0" w:color="auto"/>
      </w:divBdr>
    </w:div>
    <w:div w:id="572008598">
      <w:bodyDiv w:val="1"/>
      <w:marLeft w:val="0"/>
      <w:marRight w:val="0"/>
      <w:marTop w:val="0"/>
      <w:marBottom w:val="0"/>
      <w:divBdr>
        <w:top w:val="none" w:sz="0" w:space="0" w:color="auto"/>
        <w:left w:val="none" w:sz="0" w:space="0" w:color="auto"/>
        <w:bottom w:val="none" w:sz="0" w:space="0" w:color="auto"/>
        <w:right w:val="none" w:sz="0" w:space="0" w:color="auto"/>
      </w:divBdr>
    </w:div>
    <w:div w:id="574820054">
      <w:bodyDiv w:val="1"/>
      <w:marLeft w:val="0"/>
      <w:marRight w:val="0"/>
      <w:marTop w:val="0"/>
      <w:marBottom w:val="0"/>
      <w:divBdr>
        <w:top w:val="none" w:sz="0" w:space="0" w:color="auto"/>
        <w:left w:val="none" w:sz="0" w:space="0" w:color="auto"/>
        <w:bottom w:val="none" w:sz="0" w:space="0" w:color="auto"/>
        <w:right w:val="none" w:sz="0" w:space="0" w:color="auto"/>
      </w:divBdr>
    </w:div>
    <w:div w:id="596013629">
      <w:bodyDiv w:val="1"/>
      <w:marLeft w:val="0"/>
      <w:marRight w:val="0"/>
      <w:marTop w:val="0"/>
      <w:marBottom w:val="0"/>
      <w:divBdr>
        <w:top w:val="none" w:sz="0" w:space="0" w:color="auto"/>
        <w:left w:val="none" w:sz="0" w:space="0" w:color="auto"/>
        <w:bottom w:val="none" w:sz="0" w:space="0" w:color="auto"/>
        <w:right w:val="none" w:sz="0" w:space="0" w:color="auto"/>
      </w:divBdr>
    </w:div>
    <w:div w:id="605893129">
      <w:bodyDiv w:val="1"/>
      <w:marLeft w:val="0"/>
      <w:marRight w:val="0"/>
      <w:marTop w:val="0"/>
      <w:marBottom w:val="0"/>
      <w:divBdr>
        <w:top w:val="none" w:sz="0" w:space="0" w:color="auto"/>
        <w:left w:val="none" w:sz="0" w:space="0" w:color="auto"/>
        <w:bottom w:val="none" w:sz="0" w:space="0" w:color="auto"/>
        <w:right w:val="none" w:sz="0" w:space="0" w:color="auto"/>
      </w:divBdr>
    </w:div>
    <w:div w:id="608509763">
      <w:bodyDiv w:val="1"/>
      <w:marLeft w:val="0"/>
      <w:marRight w:val="0"/>
      <w:marTop w:val="0"/>
      <w:marBottom w:val="0"/>
      <w:divBdr>
        <w:top w:val="none" w:sz="0" w:space="0" w:color="auto"/>
        <w:left w:val="none" w:sz="0" w:space="0" w:color="auto"/>
        <w:bottom w:val="none" w:sz="0" w:space="0" w:color="auto"/>
        <w:right w:val="none" w:sz="0" w:space="0" w:color="auto"/>
      </w:divBdr>
    </w:div>
    <w:div w:id="611203621">
      <w:bodyDiv w:val="1"/>
      <w:marLeft w:val="0"/>
      <w:marRight w:val="0"/>
      <w:marTop w:val="0"/>
      <w:marBottom w:val="0"/>
      <w:divBdr>
        <w:top w:val="none" w:sz="0" w:space="0" w:color="auto"/>
        <w:left w:val="none" w:sz="0" w:space="0" w:color="auto"/>
        <w:bottom w:val="none" w:sz="0" w:space="0" w:color="auto"/>
        <w:right w:val="none" w:sz="0" w:space="0" w:color="auto"/>
      </w:divBdr>
    </w:div>
    <w:div w:id="612976816">
      <w:bodyDiv w:val="1"/>
      <w:marLeft w:val="0"/>
      <w:marRight w:val="0"/>
      <w:marTop w:val="0"/>
      <w:marBottom w:val="0"/>
      <w:divBdr>
        <w:top w:val="none" w:sz="0" w:space="0" w:color="auto"/>
        <w:left w:val="none" w:sz="0" w:space="0" w:color="auto"/>
        <w:bottom w:val="none" w:sz="0" w:space="0" w:color="auto"/>
        <w:right w:val="none" w:sz="0" w:space="0" w:color="auto"/>
      </w:divBdr>
    </w:div>
    <w:div w:id="613638596">
      <w:bodyDiv w:val="1"/>
      <w:marLeft w:val="0"/>
      <w:marRight w:val="0"/>
      <w:marTop w:val="0"/>
      <w:marBottom w:val="0"/>
      <w:divBdr>
        <w:top w:val="none" w:sz="0" w:space="0" w:color="auto"/>
        <w:left w:val="none" w:sz="0" w:space="0" w:color="auto"/>
        <w:bottom w:val="none" w:sz="0" w:space="0" w:color="auto"/>
        <w:right w:val="none" w:sz="0" w:space="0" w:color="auto"/>
      </w:divBdr>
    </w:div>
    <w:div w:id="641427205">
      <w:bodyDiv w:val="1"/>
      <w:marLeft w:val="0"/>
      <w:marRight w:val="0"/>
      <w:marTop w:val="0"/>
      <w:marBottom w:val="0"/>
      <w:divBdr>
        <w:top w:val="none" w:sz="0" w:space="0" w:color="auto"/>
        <w:left w:val="none" w:sz="0" w:space="0" w:color="auto"/>
        <w:bottom w:val="none" w:sz="0" w:space="0" w:color="auto"/>
        <w:right w:val="none" w:sz="0" w:space="0" w:color="auto"/>
      </w:divBdr>
    </w:div>
    <w:div w:id="656811917">
      <w:bodyDiv w:val="1"/>
      <w:marLeft w:val="0"/>
      <w:marRight w:val="0"/>
      <w:marTop w:val="0"/>
      <w:marBottom w:val="0"/>
      <w:divBdr>
        <w:top w:val="none" w:sz="0" w:space="0" w:color="auto"/>
        <w:left w:val="none" w:sz="0" w:space="0" w:color="auto"/>
        <w:bottom w:val="none" w:sz="0" w:space="0" w:color="auto"/>
        <w:right w:val="none" w:sz="0" w:space="0" w:color="auto"/>
      </w:divBdr>
    </w:div>
    <w:div w:id="677466429">
      <w:bodyDiv w:val="1"/>
      <w:marLeft w:val="0"/>
      <w:marRight w:val="0"/>
      <w:marTop w:val="0"/>
      <w:marBottom w:val="0"/>
      <w:divBdr>
        <w:top w:val="none" w:sz="0" w:space="0" w:color="auto"/>
        <w:left w:val="none" w:sz="0" w:space="0" w:color="auto"/>
        <w:bottom w:val="none" w:sz="0" w:space="0" w:color="auto"/>
        <w:right w:val="none" w:sz="0" w:space="0" w:color="auto"/>
      </w:divBdr>
    </w:div>
    <w:div w:id="696932854">
      <w:bodyDiv w:val="1"/>
      <w:marLeft w:val="0"/>
      <w:marRight w:val="0"/>
      <w:marTop w:val="0"/>
      <w:marBottom w:val="0"/>
      <w:divBdr>
        <w:top w:val="none" w:sz="0" w:space="0" w:color="auto"/>
        <w:left w:val="none" w:sz="0" w:space="0" w:color="auto"/>
        <w:bottom w:val="none" w:sz="0" w:space="0" w:color="auto"/>
        <w:right w:val="none" w:sz="0" w:space="0" w:color="auto"/>
      </w:divBdr>
    </w:div>
    <w:div w:id="700521981">
      <w:bodyDiv w:val="1"/>
      <w:marLeft w:val="0"/>
      <w:marRight w:val="0"/>
      <w:marTop w:val="0"/>
      <w:marBottom w:val="0"/>
      <w:divBdr>
        <w:top w:val="none" w:sz="0" w:space="0" w:color="auto"/>
        <w:left w:val="none" w:sz="0" w:space="0" w:color="auto"/>
        <w:bottom w:val="none" w:sz="0" w:space="0" w:color="auto"/>
        <w:right w:val="none" w:sz="0" w:space="0" w:color="auto"/>
      </w:divBdr>
    </w:div>
    <w:div w:id="703946965">
      <w:bodyDiv w:val="1"/>
      <w:marLeft w:val="0"/>
      <w:marRight w:val="0"/>
      <w:marTop w:val="0"/>
      <w:marBottom w:val="0"/>
      <w:divBdr>
        <w:top w:val="none" w:sz="0" w:space="0" w:color="auto"/>
        <w:left w:val="none" w:sz="0" w:space="0" w:color="auto"/>
        <w:bottom w:val="none" w:sz="0" w:space="0" w:color="auto"/>
        <w:right w:val="none" w:sz="0" w:space="0" w:color="auto"/>
      </w:divBdr>
    </w:div>
    <w:div w:id="704714743">
      <w:bodyDiv w:val="1"/>
      <w:marLeft w:val="0"/>
      <w:marRight w:val="0"/>
      <w:marTop w:val="0"/>
      <w:marBottom w:val="0"/>
      <w:divBdr>
        <w:top w:val="none" w:sz="0" w:space="0" w:color="auto"/>
        <w:left w:val="none" w:sz="0" w:space="0" w:color="auto"/>
        <w:bottom w:val="none" w:sz="0" w:space="0" w:color="auto"/>
        <w:right w:val="none" w:sz="0" w:space="0" w:color="auto"/>
      </w:divBdr>
    </w:div>
    <w:div w:id="706759974">
      <w:bodyDiv w:val="1"/>
      <w:marLeft w:val="0"/>
      <w:marRight w:val="0"/>
      <w:marTop w:val="0"/>
      <w:marBottom w:val="0"/>
      <w:divBdr>
        <w:top w:val="none" w:sz="0" w:space="0" w:color="auto"/>
        <w:left w:val="none" w:sz="0" w:space="0" w:color="auto"/>
        <w:bottom w:val="none" w:sz="0" w:space="0" w:color="auto"/>
        <w:right w:val="none" w:sz="0" w:space="0" w:color="auto"/>
      </w:divBdr>
    </w:div>
    <w:div w:id="709456714">
      <w:bodyDiv w:val="1"/>
      <w:marLeft w:val="0"/>
      <w:marRight w:val="0"/>
      <w:marTop w:val="0"/>
      <w:marBottom w:val="0"/>
      <w:divBdr>
        <w:top w:val="none" w:sz="0" w:space="0" w:color="auto"/>
        <w:left w:val="none" w:sz="0" w:space="0" w:color="auto"/>
        <w:bottom w:val="none" w:sz="0" w:space="0" w:color="auto"/>
        <w:right w:val="none" w:sz="0" w:space="0" w:color="auto"/>
      </w:divBdr>
    </w:div>
    <w:div w:id="718437280">
      <w:bodyDiv w:val="1"/>
      <w:marLeft w:val="0"/>
      <w:marRight w:val="0"/>
      <w:marTop w:val="0"/>
      <w:marBottom w:val="0"/>
      <w:divBdr>
        <w:top w:val="none" w:sz="0" w:space="0" w:color="auto"/>
        <w:left w:val="none" w:sz="0" w:space="0" w:color="auto"/>
        <w:bottom w:val="none" w:sz="0" w:space="0" w:color="auto"/>
        <w:right w:val="none" w:sz="0" w:space="0" w:color="auto"/>
      </w:divBdr>
    </w:div>
    <w:div w:id="737287375">
      <w:bodyDiv w:val="1"/>
      <w:marLeft w:val="0"/>
      <w:marRight w:val="0"/>
      <w:marTop w:val="0"/>
      <w:marBottom w:val="0"/>
      <w:divBdr>
        <w:top w:val="none" w:sz="0" w:space="0" w:color="auto"/>
        <w:left w:val="none" w:sz="0" w:space="0" w:color="auto"/>
        <w:bottom w:val="none" w:sz="0" w:space="0" w:color="auto"/>
        <w:right w:val="none" w:sz="0" w:space="0" w:color="auto"/>
      </w:divBdr>
    </w:div>
    <w:div w:id="749155407">
      <w:bodyDiv w:val="1"/>
      <w:marLeft w:val="0"/>
      <w:marRight w:val="0"/>
      <w:marTop w:val="0"/>
      <w:marBottom w:val="0"/>
      <w:divBdr>
        <w:top w:val="none" w:sz="0" w:space="0" w:color="auto"/>
        <w:left w:val="none" w:sz="0" w:space="0" w:color="auto"/>
        <w:bottom w:val="none" w:sz="0" w:space="0" w:color="auto"/>
        <w:right w:val="none" w:sz="0" w:space="0" w:color="auto"/>
      </w:divBdr>
    </w:div>
    <w:div w:id="751586950">
      <w:bodyDiv w:val="1"/>
      <w:marLeft w:val="0"/>
      <w:marRight w:val="0"/>
      <w:marTop w:val="0"/>
      <w:marBottom w:val="0"/>
      <w:divBdr>
        <w:top w:val="none" w:sz="0" w:space="0" w:color="auto"/>
        <w:left w:val="none" w:sz="0" w:space="0" w:color="auto"/>
        <w:bottom w:val="none" w:sz="0" w:space="0" w:color="auto"/>
        <w:right w:val="none" w:sz="0" w:space="0" w:color="auto"/>
      </w:divBdr>
    </w:div>
    <w:div w:id="757405169">
      <w:bodyDiv w:val="1"/>
      <w:marLeft w:val="0"/>
      <w:marRight w:val="0"/>
      <w:marTop w:val="0"/>
      <w:marBottom w:val="0"/>
      <w:divBdr>
        <w:top w:val="none" w:sz="0" w:space="0" w:color="auto"/>
        <w:left w:val="none" w:sz="0" w:space="0" w:color="auto"/>
        <w:bottom w:val="none" w:sz="0" w:space="0" w:color="auto"/>
        <w:right w:val="none" w:sz="0" w:space="0" w:color="auto"/>
      </w:divBdr>
    </w:div>
    <w:div w:id="761293784">
      <w:bodyDiv w:val="1"/>
      <w:marLeft w:val="0"/>
      <w:marRight w:val="0"/>
      <w:marTop w:val="0"/>
      <w:marBottom w:val="0"/>
      <w:divBdr>
        <w:top w:val="none" w:sz="0" w:space="0" w:color="auto"/>
        <w:left w:val="none" w:sz="0" w:space="0" w:color="auto"/>
        <w:bottom w:val="none" w:sz="0" w:space="0" w:color="auto"/>
        <w:right w:val="none" w:sz="0" w:space="0" w:color="auto"/>
      </w:divBdr>
    </w:div>
    <w:div w:id="761728107">
      <w:bodyDiv w:val="1"/>
      <w:marLeft w:val="0"/>
      <w:marRight w:val="0"/>
      <w:marTop w:val="0"/>
      <w:marBottom w:val="0"/>
      <w:divBdr>
        <w:top w:val="none" w:sz="0" w:space="0" w:color="auto"/>
        <w:left w:val="none" w:sz="0" w:space="0" w:color="auto"/>
        <w:bottom w:val="none" w:sz="0" w:space="0" w:color="auto"/>
        <w:right w:val="none" w:sz="0" w:space="0" w:color="auto"/>
      </w:divBdr>
    </w:div>
    <w:div w:id="767315934">
      <w:bodyDiv w:val="1"/>
      <w:marLeft w:val="0"/>
      <w:marRight w:val="0"/>
      <w:marTop w:val="0"/>
      <w:marBottom w:val="0"/>
      <w:divBdr>
        <w:top w:val="none" w:sz="0" w:space="0" w:color="auto"/>
        <w:left w:val="none" w:sz="0" w:space="0" w:color="auto"/>
        <w:bottom w:val="none" w:sz="0" w:space="0" w:color="auto"/>
        <w:right w:val="none" w:sz="0" w:space="0" w:color="auto"/>
      </w:divBdr>
    </w:div>
    <w:div w:id="768279105">
      <w:bodyDiv w:val="1"/>
      <w:marLeft w:val="0"/>
      <w:marRight w:val="0"/>
      <w:marTop w:val="0"/>
      <w:marBottom w:val="0"/>
      <w:divBdr>
        <w:top w:val="none" w:sz="0" w:space="0" w:color="auto"/>
        <w:left w:val="none" w:sz="0" w:space="0" w:color="auto"/>
        <w:bottom w:val="none" w:sz="0" w:space="0" w:color="auto"/>
        <w:right w:val="none" w:sz="0" w:space="0" w:color="auto"/>
      </w:divBdr>
    </w:div>
    <w:div w:id="796021808">
      <w:bodyDiv w:val="1"/>
      <w:marLeft w:val="0"/>
      <w:marRight w:val="0"/>
      <w:marTop w:val="0"/>
      <w:marBottom w:val="0"/>
      <w:divBdr>
        <w:top w:val="none" w:sz="0" w:space="0" w:color="auto"/>
        <w:left w:val="none" w:sz="0" w:space="0" w:color="auto"/>
        <w:bottom w:val="none" w:sz="0" w:space="0" w:color="auto"/>
        <w:right w:val="none" w:sz="0" w:space="0" w:color="auto"/>
      </w:divBdr>
    </w:div>
    <w:div w:id="797145978">
      <w:bodyDiv w:val="1"/>
      <w:marLeft w:val="0"/>
      <w:marRight w:val="0"/>
      <w:marTop w:val="0"/>
      <w:marBottom w:val="0"/>
      <w:divBdr>
        <w:top w:val="none" w:sz="0" w:space="0" w:color="auto"/>
        <w:left w:val="none" w:sz="0" w:space="0" w:color="auto"/>
        <w:bottom w:val="none" w:sz="0" w:space="0" w:color="auto"/>
        <w:right w:val="none" w:sz="0" w:space="0" w:color="auto"/>
      </w:divBdr>
    </w:div>
    <w:div w:id="810557712">
      <w:bodyDiv w:val="1"/>
      <w:marLeft w:val="0"/>
      <w:marRight w:val="0"/>
      <w:marTop w:val="0"/>
      <w:marBottom w:val="0"/>
      <w:divBdr>
        <w:top w:val="none" w:sz="0" w:space="0" w:color="auto"/>
        <w:left w:val="none" w:sz="0" w:space="0" w:color="auto"/>
        <w:bottom w:val="none" w:sz="0" w:space="0" w:color="auto"/>
        <w:right w:val="none" w:sz="0" w:space="0" w:color="auto"/>
      </w:divBdr>
    </w:div>
    <w:div w:id="818814312">
      <w:bodyDiv w:val="1"/>
      <w:marLeft w:val="0"/>
      <w:marRight w:val="0"/>
      <w:marTop w:val="0"/>
      <w:marBottom w:val="0"/>
      <w:divBdr>
        <w:top w:val="none" w:sz="0" w:space="0" w:color="auto"/>
        <w:left w:val="none" w:sz="0" w:space="0" w:color="auto"/>
        <w:bottom w:val="none" w:sz="0" w:space="0" w:color="auto"/>
        <w:right w:val="none" w:sz="0" w:space="0" w:color="auto"/>
      </w:divBdr>
    </w:div>
    <w:div w:id="822047835">
      <w:bodyDiv w:val="1"/>
      <w:marLeft w:val="0"/>
      <w:marRight w:val="0"/>
      <w:marTop w:val="0"/>
      <w:marBottom w:val="0"/>
      <w:divBdr>
        <w:top w:val="none" w:sz="0" w:space="0" w:color="auto"/>
        <w:left w:val="none" w:sz="0" w:space="0" w:color="auto"/>
        <w:bottom w:val="none" w:sz="0" w:space="0" w:color="auto"/>
        <w:right w:val="none" w:sz="0" w:space="0" w:color="auto"/>
      </w:divBdr>
    </w:div>
    <w:div w:id="829519282">
      <w:bodyDiv w:val="1"/>
      <w:marLeft w:val="0"/>
      <w:marRight w:val="0"/>
      <w:marTop w:val="0"/>
      <w:marBottom w:val="0"/>
      <w:divBdr>
        <w:top w:val="none" w:sz="0" w:space="0" w:color="auto"/>
        <w:left w:val="none" w:sz="0" w:space="0" w:color="auto"/>
        <w:bottom w:val="none" w:sz="0" w:space="0" w:color="auto"/>
        <w:right w:val="none" w:sz="0" w:space="0" w:color="auto"/>
      </w:divBdr>
    </w:div>
    <w:div w:id="838887682">
      <w:bodyDiv w:val="1"/>
      <w:marLeft w:val="0"/>
      <w:marRight w:val="0"/>
      <w:marTop w:val="0"/>
      <w:marBottom w:val="0"/>
      <w:divBdr>
        <w:top w:val="none" w:sz="0" w:space="0" w:color="auto"/>
        <w:left w:val="none" w:sz="0" w:space="0" w:color="auto"/>
        <w:bottom w:val="none" w:sz="0" w:space="0" w:color="auto"/>
        <w:right w:val="none" w:sz="0" w:space="0" w:color="auto"/>
      </w:divBdr>
    </w:div>
    <w:div w:id="842280265">
      <w:bodyDiv w:val="1"/>
      <w:marLeft w:val="0"/>
      <w:marRight w:val="0"/>
      <w:marTop w:val="0"/>
      <w:marBottom w:val="0"/>
      <w:divBdr>
        <w:top w:val="none" w:sz="0" w:space="0" w:color="auto"/>
        <w:left w:val="none" w:sz="0" w:space="0" w:color="auto"/>
        <w:bottom w:val="none" w:sz="0" w:space="0" w:color="auto"/>
        <w:right w:val="none" w:sz="0" w:space="0" w:color="auto"/>
      </w:divBdr>
    </w:div>
    <w:div w:id="845511335">
      <w:bodyDiv w:val="1"/>
      <w:marLeft w:val="0"/>
      <w:marRight w:val="0"/>
      <w:marTop w:val="0"/>
      <w:marBottom w:val="0"/>
      <w:divBdr>
        <w:top w:val="none" w:sz="0" w:space="0" w:color="auto"/>
        <w:left w:val="none" w:sz="0" w:space="0" w:color="auto"/>
        <w:bottom w:val="none" w:sz="0" w:space="0" w:color="auto"/>
        <w:right w:val="none" w:sz="0" w:space="0" w:color="auto"/>
      </w:divBdr>
    </w:div>
    <w:div w:id="856234877">
      <w:bodyDiv w:val="1"/>
      <w:marLeft w:val="0"/>
      <w:marRight w:val="0"/>
      <w:marTop w:val="0"/>
      <w:marBottom w:val="0"/>
      <w:divBdr>
        <w:top w:val="none" w:sz="0" w:space="0" w:color="auto"/>
        <w:left w:val="none" w:sz="0" w:space="0" w:color="auto"/>
        <w:bottom w:val="none" w:sz="0" w:space="0" w:color="auto"/>
        <w:right w:val="none" w:sz="0" w:space="0" w:color="auto"/>
      </w:divBdr>
    </w:div>
    <w:div w:id="881131737">
      <w:bodyDiv w:val="1"/>
      <w:marLeft w:val="0"/>
      <w:marRight w:val="0"/>
      <w:marTop w:val="0"/>
      <w:marBottom w:val="0"/>
      <w:divBdr>
        <w:top w:val="none" w:sz="0" w:space="0" w:color="auto"/>
        <w:left w:val="none" w:sz="0" w:space="0" w:color="auto"/>
        <w:bottom w:val="none" w:sz="0" w:space="0" w:color="auto"/>
        <w:right w:val="none" w:sz="0" w:space="0" w:color="auto"/>
      </w:divBdr>
    </w:div>
    <w:div w:id="889731638">
      <w:bodyDiv w:val="1"/>
      <w:marLeft w:val="0"/>
      <w:marRight w:val="0"/>
      <w:marTop w:val="0"/>
      <w:marBottom w:val="0"/>
      <w:divBdr>
        <w:top w:val="none" w:sz="0" w:space="0" w:color="auto"/>
        <w:left w:val="none" w:sz="0" w:space="0" w:color="auto"/>
        <w:bottom w:val="none" w:sz="0" w:space="0" w:color="auto"/>
        <w:right w:val="none" w:sz="0" w:space="0" w:color="auto"/>
      </w:divBdr>
    </w:div>
    <w:div w:id="921984956">
      <w:bodyDiv w:val="1"/>
      <w:marLeft w:val="0"/>
      <w:marRight w:val="0"/>
      <w:marTop w:val="0"/>
      <w:marBottom w:val="0"/>
      <w:divBdr>
        <w:top w:val="none" w:sz="0" w:space="0" w:color="auto"/>
        <w:left w:val="none" w:sz="0" w:space="0" w:color="auto"/>
        <w:bottom w:val="none" w:sz="0" w:space="0" w:color="auto"/>
        <w:right w:val="none" w:sz="0" w:space="0" w:color="auto"/>
      </w:divBdr>
    </w:div>
    <w:div w:id="934367586">
      <w:bodyDiv w:val="1"/>
      <w:marLeft w:val="0"/>
      <w:marRight w:val="0"/>
      <w:marTop w:val="0"/>
      <w:marBottom w:val="0"/>
      <w:divBdr>
        <w:top w:val="none" w:sz="0" w:space="0" w:color="auto"/>
        <w:left w:val="none" w:sz="0" w:space="0" w:color="auto"/>
        <w:bottom w:val="none" w:sz="0" w:space="0" w:color="auto"/>
        <w:right w:val="none" w:sz="0" w:space="0" w:color="auto"/>
      </w:divBdr>
    </w:div>
    <w:div w:id="940800393">
      <w:bodyDiv w:val="1"/>
      <w:marLeft w:val="0"/>
      <w:marRight w:val="0"/>
      <w:marTop w:val="0"/>
      <w:marBottom w:val="0"/>
      <w:divBdr>
        <w:top w:val="none" w:sz="0" w:space="0" w:color="auto"/>
        <w:left w:val="none" w:sz="0" w:space="0" w:color="auto"/>
        <w:bottom w:val="none" w:sz="0" w:space="0" w:color="auto"/>
        <w:right w:val="none" w:sz="0" w:space="0" w:color="auto"/>
      </w:divBdr>
    </w:div>
    <w:div w:id="942224666">
      <w:bodyDiv w:val="1"/>
      <w:marLeft w:val="0"/>
      <w:marRight w:val="0"/>
      <w:marTop w:val="0"/>
      <w:marBottom w:val="0"/>
      <w:divBdr>
        <w:top w:val="none" w:sz="0" w:space="0" w:color="auto"/>
        <w:left w:val="none" w:sz="0" w:space="0" w:color="auto"/>
        <w:bottom w:val="none" w:sz="0" w:space="0" w:color="auto"/>
        <w:right w:val="none" w:sz="0" w:space="0" w:color="auto"/>
      </w:divBdr>
    </w:div>
    <w:div w:id="943613006">
      <w:bodyDiv w:val="1"/>
      <w:marLeft w:val="0"/>
      <w:marRight w:val="0"/>
      <w:marTop w:val="0"/>
      <w:marBottom w:val="0"/>
      <w:divBdr>
        <w:top w:val="none" w:sz="0" w:space="0" w:color="auto"/>
        <w:left w:val="none" w:sz="0" w:space="0" w:color="auto"/>
        <w:bottom w:val="none" w:sz="0" w:space="0" w:color="auto"/>
        <w:right w:val="none" w:sz="0" w:space="0" w:color="auto"/>
      </w:divBdr>
    </w:div>
    <w:div w:id="952396758">
      <w:bodyDiv w:val="1"/>
      <w:marLeft w:val="0"/>
      <w:marRight w:val="0"/>
      <w:marTop w:val="0"/>
      <w:marBottom w:val="0"/>
      <w:divBdr>
        <w:top w:val="none" w:sz="0" w:space="0" w:color="auto"/>
        <w:left w:val="none" w:sz="0" w:space="0" w:color="auto"/>
        <w:bottom w:val="none" w:sz="0" w:space="0" w:color="auto"/>
        <w:right w:val="none" w:sz="0" w:space="0" w:color="auto"/>
      </w:divBdr>
    </w:div>
    <w:div w:id="970525501">
      <w:bodyDiv w:val="1"/>
      <w:marLeft w:val="0"/>
      <w:marRight w:val="0"/>
      <w:marTop w:val="0"/>
      <w:marBottom w:val="0"/>
      <w:divBdr>
        <w:top w:val="none" w:sz="0" w:space="0" w:color="auto"/>
        <w:left w:val="none" w:sz="0" w:space="0" w:color="auto"/>
        <w:bottom w:val="none" w:sz="0" w:space="0" w:color="auto"/>
        <w:right w:val="none" w:sz="0" w:space="0" w:color="auto"/>
      </w:divBdr>
    </w:div>
    <w:div w:id="978801313">
      <w:bodyDiv w:val="1"/>
      <w:marLeft w:val="0"/>
      <w:marRight w:val="0"/>
      <w:marTop w:val="0"/>
      <w:marBottom w:val="0"/>
      <w:divBdr>
        <w:top w:val="none" w:sz="0" w:space="0" w:color="auto"/>
        <w:left w:val="none" w:sz="0" w:space="0" w:color="auto"/>
        <w:bottom w:val="none" w:sz="0" w:space="0" w:color="auto"/>
        <w:right w:val="none" w:sz="0" w:space="0" w:color="auto"/>
      </w:divBdr>
    </w:div>
    <w:div w:id="986320955">
      <w:bodyDiv w:val="1"/>
      <w:marLeft w:val="0"/>
      <w:marRight w:val="0"/>
      <w:marTop w:val="0"/>
      <w:marBottom w:val="0"/>
      <w:divBdr>
        <w:top w:val="none" w:sz="0" w:space="0" w:color="auto"/>
        <w:left w:val="none" w:sz="0" w:space="0" w:color="auto"/>
        <w:bottom w:val="none" w:sz="0" w:space="0" w:color="auto"/>
        <w:right w:val="none" w:sz="0" w:space="0" w:color="auto"/>
      </w:divBdr>
    </w:div>
    <w:div w:id="986784209">
      <w:bodyDiv w:val="1"/>
      <w:marLeft w:val="0"/>
      <w:marRight w:val="0"/>
      <w:marTop w:val="0"/>
      <w:marBottom w:val="0"/>
      <w:divBdr>
        <w:top w:val="none" w:sz="0" w:space="0" w:color="auto"/>
        <w:left w:val="none" w:sz="0" w:space="0" w:color="auto"/>
        <w:bottom w:val="none" w:sz="0" w:space="0" w:color="auto"/>
        <w:right w:val="none" w:sz="0" w:space="0" w:color="auto"/>
      </w:divBdr>
    </w:div>
    <w:div w:id="992022989">
      <w:bodyDiv w:val="1"/>
      <w:marLeft w:val="0"/>
      <w:marRight w:val="0"/>
      <w:marTop w:val="0"/>
      <w:marBottom w:val="0"/>
      <w:divBdr>
        <w:top w:val="none" w:sz="0" w:space="0" w:color="auto"/>
        <w:left w:val="none" w:sz="0" w:space="0" w:color="auto"/>
        <w:bottom w:val="none" w:sz="0" w:space="0" w:color="auto"/>
        <w:right w:val="none" w:sz="0" w:space="0" w:color="auto"/>
      </w:divBdr>
    </w:div>
    <w:div w:id="995762178">
      <w:bodyDiv w:val="1"/>
      <w:marLeft w:val="0"/>
      <w:marRight w:val="0"/>
      <w:marTop w:val="0"/>
      <w:marBottom w:val="0"/>
      <w:divBdr>
        <w:top w:val="none" w:sz="0" w:space="0" w:color="auto"/>
        <w:left w:val="none" w:sz="0" w:space="0" w:color="auto"/>
        <w:bottom w:val="none" w:sz="0" w:space="0" w:color="auto"/>
        <w:right w:val="none" w:sz="0" w:space="0" w:color="auto"/>
      </w:divBdr>
    </w:div>
    <w:div w:id="995958579">
      <w:bodyDiv w:val="1"/>
      <w:marLeft w:val="0"/>
      <w:marRight w:val="0"/>
      <w:marTop w:val="0"/>
      <w:marBottom w:val="0"/>
      <w:divBdr>
        <w:top w:val="none" w:sz="0" w:space="0" w:color="auto"/>
        <w:left w:val="none" w:sz="0" w:space="0" w:color="auto"/>
        <w:bottom w:val="none" w:sz="0" w:space="0" w:color="auto"/>
        <w:right w:val="none" w:sz="0" w:space="0" w:color="auto"/>
      </w:divBdr>
    </w:div>
    <w:div w:id="997151213">
      <w:bodyDiv w:val="1"/>
      <w:marLeft w:val="0"/>
      <w:marRight w:val="0"/>
      <w:marTop w:val="0"/>
      <w:marBottom w:val="0"/>
      <w:divBdr>
        <w:top w:val="none" w:sz="0" w:space="0" w:color="auto"/>
        <w:left w:val="none" w:sz="0" w:space="0" w:color="auto"/>
        <w:bottom w:val="none" w:sz="0" w:space="0" w:color="auto"/>
        <w:right w:val="none" w:sz="0" w:space="0" w:color="auto"/>
      </w:divBdr>
    </w:div>
    <w:div w:id="1022703144">
      <w:bodyDiv w:val="1"/>
      <w:marLeft w:val="0"/>
      <w:marRight w:val="0"/>
      <w:marTop w:val="0"/>
      <w:marBottom w:val="0"/>
      <w:divBdr>
        <w:top w:val="none" w:sz="0" w:space="0" w:color="auto"/>
        <w:left w:val="none" w:sz="0" w:space="0" w:color="auto"/>
        <w:bottom w:val="none" w:sz="0" w:space="0" w:color="auto"/>
        <w:right w:val="none" w:sz="0" w:space="0" w:color="auto"/>
      </w:divBdr>
    </w:div>
    <w:div w:id="1024744453">
      <w:bodyDiv w:val="1"/>
      <w:marLeft w:val="0"/>
      <w:marRight w:val="0"/>
      <w:marTop w:val="0"/>
      <w:marBottom w:val="0"/>
      <w:divBdr>
        <w:top w:val="none" w:sz="0" w:space="0" w:color="auto"/>
        <w:left w:val="none" w:sz="0" w:space="0" w:color="auto"/>
        <w:bottom w:val="none" w:sz="0" w:space="0" w:color="auto"/>
        <w:right w:val="none" w:sz="0" w:space="0" w:color="auto"/>
      </w:divBdr>
    </w:div>
    <w:div w:id="1025332114">
      <w:bodyDiv w:val="1"/>
      <w:marLeft w:val="0"/>
      <w:marRight w:val="0"/>
      <w:marTop w:val="0"/>
      <w:marBottom w:val="0"/>
      <w:divBdr>
        <w:top w:val="none" w:sz="0" w:space="0" w:color="auto"/>
        <w:left w:val="none" w:sz="0" w:space="0" w:color="auto"/>
        <w:bottom w:val="none" w:sz="0" w:space="0" w:color="auto"/>
        <w:right w:val="none" w:sz="0" w:space="0" w:color="auto"/>
      </w:divBdr>
    </w:div>
    <w:div w:id="1041633503">
      <w:bodyDiv w:val="1"/>
      <w:marLeft w:val="0"/>
      <w:marRight w:val="0"/>
      <w:marTop w:val="0"/>
      <w:marBottom w:val="0"/>
      <w:divBdr>
        <w:top w:val="none" w:sz="0" w:space="0" w:color="auto"/>
        <w:left w:val="none" w:sz="0" w:space="0" w:color="auto"/>
        <w:bottom w:val="none" w:sz="0" w:space="0" w:color="auto"/>
        <w:right w:val="none" w:sz="0" w:space="0" w:color="auto"/>
      </w:divBdr>
    </w:div>
    <w:div w:id="1062291866">
      <w:bodyDiv w:val="1"/>
      <w:marLeft w:val="0"/>
      <w:marRight w:val="0"/>
      <w:marTop w:val="0"/>
      <w:marBottom w:val="0"/>
      <w:divBdr>
        <w:top w:val="none" w:sz="0" w:space="0" w:color="auto"/>
        <w:left w:val="none" w:sz="0" w:space="0" w:color="auto"/>
        <w:bottom w:val="none" w:sz="0" w:space="0" w:color="auto"/>
        <w:right w:val="none" w:sz="0" w:space="0" w:color="auto"/>
      </w:divBdr>
    </w:div>
    <w:div w:id="1083574751">
      <w:bodyDiv w:val="1"/>
      <w:marLeft w:val="0"/>
      <w:marRight w:val="0"/>
      <w:marTop w:val="0"/>
      <w:marBottom w:val="0"/>
      <w:divBdr>
        <w:top w:val="none" w:sz="0" w:space="0" w:color="auto"/>
        <w:left w:val="none" w:sz="0" w:space="0" w:color="auto"/>
        <w:bottom w:val="none" w:sz="0" w:space="0" w:color="auto"/>
        <w:right w:val="none" w:sz="0" w:space="0" w:color="auto"/>
      </w:divBdr>
    </w:div>
    <w:div w:id="1083720562">
      <w:bodyDiv w:val="1"/>
      <w:marLeft w:val="0"/>
      <w:marRight w:val="0"/>
      <w:marTop w:val="0"/>
      <w:marBottom w:val="0"/>
      <w:divBdr>
        <w:top w:val="none" w:sz="0" w:space="0" w:color="auto"/>
        <w:left w:val="none" w:sz="0" w:space="0" w:color="auto"/>
        <w:bottom w:val="none" w:sz="0" w:space="0" w:color="auto"/>
        <w:right w:val="none" w:sz="0" w:space="0" w:color="auto"/>
      </w:divBdr>
    </w:div>
    <w:div w:id="1121801232">
      <w:bodyDiv w:val="1"/>
      <w:marLeft w:val="0"/>
      <w:marRight w:val="0"/>
      <w:marTop w:val="0"/>
      <w:marBottom w:val="0"/>
      <w:divBdr>
        <w:top w:val="none" w:sz="0" w:space="0" w:color="auto"/>
        <w:left w:val="none" w:sz="0" w:space="0" w:color="auto"/>
        <w:bottom w:val="none" w:sz="0" w:space="0" w:color="auto"/>
        <w:right w:val="none" w:sz="0" w:space="0" w:color="auto"/>
      </w:divBdr>
    </w:div>
    <w:div w:id="1126192030">
      <w:bodyDiv w:val="1"/>
      <w:marLeft w:val="0"/>
      <w:marRight w:val="0"/>
      <w:marTop w:val="0"/>
      <w:marBottom w:val="0"/>
      <w:divBdr>
        <w:top w:val="none" w:sz="0" w:space="0" w:color="auto"/>
        <w:left w:val="none" w:sz="0" w:space="0" w:color="auto"/>
        <w:bottom w:val="none" w:sz="0" w:space="0" w:color="auto"/>
        <w:right w:val="none" w:sz="0" w:space="0" w:color="auto"/>
      </w:divBdr>
    </w:div>
    <w:div w:id="1129281344">
      <w:bodyDiv w:val="1"/>
      <w:marLeft w:val="0"/>
      <w:marRight w:val="0"/>
      <w:marTop w:val="0"/>
      <w:marBottom w:val="0"/>
      <w:divBdr>
        <w:top w:val="none" w:sz="0" w:space="0" w:color="auto"/>
        <w:left w:val="none" w:sz="0" w:space="0" w:color="auto"/>
        <w:bottom w:val="none" w:sz="0" w:space="0" w:color="auto"/>
        <w:right w:val="none" w:sz="0" w:space="0" w:color="auto"/>
      </w:divBdr>
    </w:div>
    <w:div w:id="1129781582">
      <w:bodyDiv w:val="1"/>
      <w:marLeft w:val="0"/>
      <w:marRight w:val="0"/>
      <w:marTop w:val="0"/>
      <w:marBottom w:val="0"/>
      <w:divBdr>
        <w:top w:val="none" w:sz="0" w:space="0" w:color="auto"/>
        <w:left w:val="none" w:sz="0" w:space="0" w:color="auto"/>
        <w:bottom w:val="none" w:sz="0" w:space="0" w:color="auto"/>
        <w:right w:val="none" w:sz="0" w:space="0" w:color="auto"/>
      </w:divBdr>
    </w:div>
    <w:div w:id="1134057081">
      <w:bodyDiv w:val="1"/>
      <w:marLeft w:val="0"/>
      <w:marRight w:val="0"/>
      <w:marTop w:val="0"/>
      <w:marBottom w:val="0"/>
      <w:divBdr>
        <w:top w:val="none" w:sz="0" w:space="0" w:color="auto"/>
        <w:left w:val="none" w:sz="0" w:space="0" w:color="auto"/>
        <w:bottom w:val="none" w:sz="0" w:space="0" w:color="auto"/>
        <w:right w:val="none" w:sz="0" w:space="0" w:color="auto"/>
      </w:divBdr>
    </w:div>
    <w:div w:id="1134835998">
      <w:bodyDiv w:val="1"/>
      <w:marLeft w:val="0"/>
      <w:marRight w:val="0"/>
      <w:marTop w:val="0"/>
      <w:marBottom w:val="0"/>
      <w:divBdr>
        <w:top w:val="none" w:sz="0" w:space="0" w:color="auto"/>
        <w:left w:val="none" w:sz="0" w:space="0" w:color="auto"/>
        <w:bottom w:val="none" w:sz="0" w:space="0" w:color="auto"/>
        <w:right w:val="none" w:sz="0" w:space="0" w:color="auto"/>
      </w:divBdr>
    </w:div>
    <w:div w:id="1167791658">
      <w:bodyDiv w:val="1"/>
      <w:marLeft w:val="0"/>
      <w:marRight w:val="0"/>
      <w:marTop w:val="0"/>
      <w:marBottom w:val="0"/>
      <w:divBdr>
        <w:top w:val="none" w:sz="0" w:space="0" w:color="auto"/>
        <w:left w:val="none" w:sz="0" w:space="0" w:color="auto"/>
        <w:bottom w:val="none" w:sz="0" w:space="0" w:color="auto"/>
        <w:right w:val="none" w:sz="0" w:space="0" w:color="auto"/>
      </w:divBdr>
    </w:div>
    <w:div w:id="1188449351">
      <w:bodyDiv w:val="1"/>
      <w:marLeft w:val="0"/>
      <w:marRight w:val="0"/>
      <w:marTop w:val="0"/>
      <w:marBottom w:val="0"/>
      <w:divBdr>
        <w:top w:val="none" w:sz="0" w:space="0" w:color="auto"/>
        <w:left w:val="none" w:sz="0" w:space="0" w:color="auto"/>
        <w:bottom w:val="none" w:sz="0" w:space="0" w:color="auto"/>
        <w:right w:val="none" w:sz="0" w:space="0" w:color="auto"/>
      </w:divBdr>
    </w:div>
    <w:div w:id="1194349000">
      <w:bodyDiv w:val="1"/>
      <w:marLeft w:val="0"/>
      <w:marRight w:val="0"/>
      <w:marTop w:val="0"/>
      <w:marBottom w:val="0"/>
      <w:divBdr>
        <w:top w:val="none" w:sz="0" w:space="0" w:color="auto"/>
        <w:left w:val="none" w:sz="0" w:space="0" w:color="auto"/>
        <w:bottom w:val="none" w:sz="0" w:space="0" w:color="auto"/>
        <w:right w:val="none" w:sz="0" w:space="0" w:color="auto"/>
      </w:divBdr>
    </w:div>
    <w:div w:id="1200439265">
      <w:bodyDiv w:val="1"/>
      <w:marLeft w:val="0"/>
      <w:marRight w:val="0"/>
      <w:marTop w:val="0"/>
      <w:marBottom w:val="0"/>
      <w:divBdr>
        <w:top w:val="none" w:sz="0" w:space="0" w:color="auto"/>
        <w:left w:val="none" w:sz="0" w:space="0" w:color="auto"/>
        <w:bottom w:val="none" w:sz="0" w:space="0" w:color="auto"/>
        <w:right w:val="none" w:sz="0" w:space="0" w:color="auto"/>
      </w:divBdr>
    </w:div>
    <w:div w:id="1216742840">
      <w:bodyDiv w:val="1"/>
      <w:marLeft w:val="0"/>
      <w:marRight w:val="0"/>
      <w:marTop w:val="0"/>
      <w:marBottom w:val="0"/>
      <w:divBdr>
        <w:top w:val="none" w:sz="0" w:space="0" w:color="auto"/>
        <w:left w:val="none" w:sz="0" w:space="0" w:color="auto"/>
        <w:bottom w:val="none" w:sz="0" w:space="0" w:color="auto"/>
        <w:right w:val="none" w:sz="0" w:space="0" w:color="auto"/>
      </w:divBdr>
    </w:div>
    <w:div w:id="1230581197">
      <w:bodyDiv w:val="1"/>
      <w:marLeft w:val="0"/>
      <w:marRight w:val="0"/>
      <w:marTop w:val="0"/>
      <w:marBottom w:val="0"/>
      <w:divBdr>
        <w:top w:val="none" w:sz="0" w:space="0" w:color="auto"/>
        <w:left w:val="none" w:sz="0" w:space="0" w:color="auto"/>
        <w:bottom w:val="none" w:sz="0" w:space="0" w:color="auto"/>
        <w:right w:val="none" w:sz="0" w:space="0" w:color="auto"/>
      </w:divBdr>
    </w:div>
    <w:div w:id="1246064104">
      <w:bodyDiv w:val="1"/>
      <w:marLeft w:val="0"/>
      <w:marRight w:val="0"/>
      <w:marTop w:val="0"/>
      <w:marBottom w:val="0"/>
      <w:divBdr>
        <w:top w:val="none" w:sz="0" w:space="0" w:color="auto"/>
        <w:left w:val="none" w:sz="0" w:space="0" w:color="auto"/>
        <w:bottom w:val="none" w:sz="0" w:space="0" w:color="auto"/>
        <w:right w:val="none" w:sz="0" w:space="0" w:color="auto"/>
      </w:divBdr>
    </w:div>
    <w:div w:id="1253857509">
      <w:bodyDiv w:val="1"/>
      <w:marLeft w:val="0"/>
      <w:marRight w:val="0"/>
      <w:marTop w:val="0"/>
      <w:marBottom w:val="0"/>
      <w:divBdr>
        <w:top w:val="none" w:sz="0" w:space="0" w:color="auto"/>
        <w:left w:val="none" w:sz="0" w:space="0" w:color="auto"/>
        <w:bottom w:val="none" w:sz="0" w:space="0" w:color="auto"/>
        <w:right w:val="none" w:sz="0" w:space="0" w:color="auto"/>
      </w:divBdr>
    </w:div>
    <w:div w:id="1268656834">
      <w:bodyDiv w:val="1"/>
      <w:marLeft w:val="0"/>
      <w:marRight w:val="0"/>
      <w:marTop w:val="0"/>
      <w:marBottom w:val="0"/>
      <w:divBdr>
        <w:top w:val="none" w:sz="0" w:space="0" w:color="auto"/>
        <w:left w:val="none" w:sz="0" w:space="0" w:color="auto"/>
        <w:bottom w:val="none" w:sz="0" w:space="0" w:color="auto"/>
        <w:right w:val="none" w:sz="0" w:space="0" w:color="auto"/>
      </w:divBdr>
    </w:div>
    <w:div w:id="1278369683">
      <w:bodyDiv w:val="1"/>
      <w:marLeft w:val="0"/>
      <w:marRight w:val="0"/>
      <w:marTop w:val="0"/>
      <w:marBottom w:val="0"/>
      <w:divBdr>
        <w:top w:val="none" w:sz="0" w:space="0" w:color="auto"/>
        <w:left w:val="none" w:sz="0" w:space="0" w:color="auto"/>
        <w:bottom w:val="none" w:sz="0" w:space="0" w:color="auto"/>
        <w:right w:val="none" w:sz="0" w:space="0" w:color="auto"/>
      </w:divBdr>
    </w:div>
    <w:div w:id="1314070022">
      <w:bodyDiv w:val="1"/>
      <w:marLeft w:val="0"/>
      <w:marRight w:val="0"/>
      <w:marTop w:val="0"/>
      <w:marBottom w:val="0"/>
      <w:divBdr>
        <w:top w:val="none" w:sz="0" w:space="0" w:color="auto"/>
        <w:left w:val="none" w:sz="0" w:space="0" w:color="auto"/>
        <w:bottom w:val="none" w:sz="0" w:space="0" w:color="auto"/>
        <w:right w:val="none" w:sz="0" w:space="0" w:color="auto"/>
      </w:divBdr>
    </w:div>
    <w:div w:id="1321159158">
      <w:bodyDiv w:val="1"/>
      <w:marLeft w:val="0"/>
      <w:marRight w:val="0"/>
      <w:marTop w:val="0"/>
      <w:marBottom w:val="0"/>
      <w:divBdr>
        <w:top w:val="none" w:sz="0" w:space="0" w:color="auto"/>
        <w:left w:val="none" w:sz="0" w:space="0" w:color="auto"/>
        <w:bottom w:val="none" w:sz="0" w:space="0" w:color="auto"/>
        <w:right w:val="none" w:sz="0" w:space="0" w:color="auto"/>
      </w:divBdr>
    </w:div>
    <w:div w:id="1336609807">
      <w:bodyDiv w:val="1"/>
      <w:marLeft w:val="0"/>
      <w:marRight w:val="0"/>
      <w:marTop w:val="0"/>
      <w:marBottom w:val="0"/>
      <w:divBdr>
        <w:top w:val="none" w:sz="0" w:space="0" w:color="auto"/>
        <w:left w:val="none" w:sz="0" w:space="0" w:color="auto"/>
        <w:bottom w:val="none" w:sz="0" w:space="0" w:color="auto"/>
        <w:right w:val="none" w:sz="0" w:space="0" w:color="auto"/>
      </w:divBdr>
    </w:div>
    <w:div w:id="1350333620">
      <w:bodyDiv w:val="1"/>
      <w:marLeft w:val="0"/>
      <w:marRight w:val="0"/>
      <w:marTop w:val="0"/>
      <w:marBottom w:val="0"/>
      <w:divBdr>
        <w:top w:val="none" w:sz="0" w:space="0" w:color="auto"/>
        <w:left w:val="none" w:sz="0" w:space="0" w:color="auto"/>
        <w:bottom w:val="none" w:sz="0" w:space="0" w:color="auto"/>
        <w:right w:val="none" w:sz="0" w:space="0" w:color="auto"/>
      </w:divBdr>
    </w:div>
    <w:div w:id="1368022906">
      <w:bodyDiv w:val="1"/>
      <w:marLeft w:val="0"/>
      <w:marRight w:val="0"/>
      <w:marTop w:val="0"/>
      <w:marBottom w:val="0"/>
      <w:divBdr>
        <w:top w:val="none" w:sz="0" w:space="0" w:color="auto"/>
        <w:left w:val="none" w:sz="0" w:space="0" w:color="auto"/>
        <w:bottom w:val="none" w:sz="0" w:space="0" w:color="auto"/>
        <w:right w:val="none" w:sz="0" w:space="0" w:color="auto"/>
      </w:divBdr>
    </w:div>
    <w:div w:id="1379627453">
      <w:bodyDiv w:val="1"/>
      <w:marLeft w:val="0"/>
      <w:marRight w:val="0"/>
      <w:marTop w:val="0"/>
      <w:marBottom w:val="0"/>
      <w:divBdr>
        <w:top w:val="none" w:sz="0" w:space="0" w:color="auto"/>
        <w:left w:val="none" w:sz="0" w:space="0" w:color="auto"/>
        <w:bottom w:val="none" w:sz="0" w:space="0" w:color="auto"/>
        <w:right w:val="none" w:sz="0" w:space="0" w:color="auto"/>
      </w:divBdr>
    </w:div>
    <w:div w:id="1399209029">
      <w:bodyDiv w:val="1"/>
      <w:marLeft w:val="0"/>
      <w:marRight w:val="0"/>
      <w:marTop w:val="0"/>
      <w:marBottom w:val="0"/>
      <w:divBdr>
        <w:top w:val="none" w:sz="0" w:space="0" w:color="auto"/>
        <w:left w:val="none" w:sz="0" w:space="0" w:color="auto"/>
        <w:bottom w:val="none" w:sz="0" w:space="0" w:color="auto"/>
        <w:right w:val="none" w:sz="0" w:space="0" w:color="auto"/>
      </w:divBdr>
    </w:div>
    <w:div w:id="1399279056">
      <w:bodyDiv w:val="1"/>
      <w:marLeft w:val="0"/>
      <w:marRight w:val="0"/>
      <w:marTop w:val="0"/>
      <w:marBottom w:val="0"/>
      <w:divBdr>
        <w:top w:val="none" w:sz="0" w:space="0" w:color="auto"/>
        <w:left w:val="none" w:sz="0" w:space="0" w:color="auto"/>
        <w:bottom w:val="none" w:sz="0" w:space="0" w:color="auto"/>
        <w:right w:val="none" w:sz="0" w:space="0" w:color="auto"/>
      </w:divBdr>
      <w:divsChild>
        <w:div w:id="1691645956">
          <w:marLeft w:val="0"/>
          <w:marRight w:val="0"/>
          <w:marTop w:val="0"/>
          <w:marBottom w:val="0"/>
          <w:divBdr>
            <w:top w:val="none" w:sz="0" w:space="0" w:color="auto"/>
            <w:left w:val="none" w:sz="0" w:space="0" w:color="auto"/>
            <w:bottom w:val="none" w:sz="0" w:space="0" w:color="auto"/>
            <w:right w:val="none" w:sz="0" w:space="0" w:color="auto"/>
          </w:divBdr>
        </w:div>
      </w:divsChild>
    </w:div>
    <w:div w:id="1403530512">
      <w:bodyDiv w:val="1"/>
      <w:marLeft w:val="0"/>
      <w:marRight w:val="0"/>
      <w:marTop w:val="0"/>
      <w:marBottom w:val="0"/>
      <w:divBdr>
        <w:top w:val="none" w:sz="0" w:space="0" w:color="auto"/>
        <w:left w:val="none" w:sz="0" w:space="0" w:color="auto"/>
        <w:bottom w:val="none" w:sz="0" w:space="0" w:color="auto"/>
        <w:right w:val="none" w:sz="0" w:space="0" w:color="auto"/>
      </w:divBdr>
    </w:div>
    <w:div w:id="1412501690">
      <w:bodyDiv w:val="1"/>
      <w:marLeft w:val="0"/>
      <w:marRight w:val="0"/>
      <w:marTop w:val="0"/>
      <w:marBottom w:val="0"/>
      <w:divBdr>
        <w:top w:val="none" w:sz="0" w:space="0" w:color="auto"/>
        <w:left w:val="none" w:sz="0" w:space="0" w:color="auto"/>
        <w:bottom w:val="none" w:sz="0" w:space="0" w:color="auto"/>
        <w:right w:val="none" w:sz="0" w:space="0" w:color="auto"/>
      </w:divBdr>
    </w:div>
    <w:div w:id="1414886731">
      <w:bodyDiv w:val="1"/>
      <w:marLeft w:val="0"/>
      <w:marRight w:val="0"/>
      <w:marTop w:val="0"/>
      <w:marBottom w:val="0"/>
      <w:divBdr>
        <w:top w:val="none" w:sz="0" w:space="0" w:color="auto"/>
        <w:left w:val="none" w:sz="0" w:space="0" w:color="auto"/>
        <w:bottom w:val="none" w:sz="0" w:space="0" w:color="auto"/>
        <w:right w:val="none" w:sz="0" w:space="0" w:color="auto"/>
      </w:divBdr>
    </w:div>
    <w:div w:id="1431969322">
      <w:bodyDiv w:val="1"/>
      <w:marLeft w:val="0"/>
      <w:marRight w:val="0"/>
      <w:marTop w:val="0"/>
      <w:marBottom w:val="0"/>
      <w:divBdr>
        <w:top w:val="none" w:sz="0" w:space="0" w:color="auto"/>
        <w:left w:val="none" w:sz="0" w:space="0" w:color="auto"/>
        <w:bottom w:val="none" w:sz="0" w:space="0" w:color="auto"/>
        <w:right w:val="none" w:sz="0" w:space="0" w:color="auto"/>
      </w:divBdr>
    </w:div>
    <w:div w:id="1432240552">
      <w:bodyDiv w:val="1"/>
      <w:marLeft w:val="0"/>
      <w:marRight w:val="0"/>
      <w:marTop w:val="0"/>
      <w:marBottom w:val="0"/>
      <w:divBdr>
        <w:top w:val="none" w:sz="0" w:space="0" w:color="auto"/>
        <w:left w:val="none" w:sz="0" w:space="0" w:color="auto"/>
        <w:bottom w:val="none" w:sz="0" w:space="0" w:color="auto"/>
        <w:right w:val="none" w:sz="0" w:space="0" w:color="auto"/>
      </w:divBdr>
    </w:div>
    <w:div w:id="1444760615">
      <w:bodyDiv w:val="1"/>
      <w:marLeft w:val="0"/>
      <w:marRight w:val="0"/>
      <w:marTop w:val="0"/>
      <w:marBottom w:val="0"/>
      <w:divBdr>
        <w:top w:val="none" w:sz="0" w:space="0" w:color="auto"/>
        <w:left w:val="none" w:sz="0" w:space="0" w:color="auto"/>
        <w:bottom w:val="none" w:sz="0" w:space="0" w:color="auto"/>
        <w:right w:val="none" w:sz="0" w:space="0" w:color="auto"/>
      </w:divBdr>
    </w:div>
    <w:div w:id="1447699488">
      <w:bodyDiv w:val="1"/>
      <w:marLeft w:val="0"/>
      <w:marRight w:val="0"/>
      <w:marTop w:val="0"/>
      <w:marBottom w:val="0"/>
      <w:divBdr>
        <w:top w:val="none" w:sz="0" w:space="0" w:color="auto"/>
        <w:left w:val="none" w:sz="0" w:space="0" w:color="auto"/>
        <w:bottom w:val="none" w:sz="0" w:space="0" w:color="auto"/>
        <w:right w:val="none" w:sz="0" w:space="0" w:color="auto"/>
      </w:divBdr>
    </w:div>
    <w:div w:id="1448114965">
      <w:bodyDiv w:val="1"/>
      <w:marLeft w:val="0"/>
      <w:marRight w:val="0"/>
      <w:marTop w:val="0"/>
      <w:marBottom w:val="0"/>
      <w:divBdr>
        <w:top w:val="none" w:sz="0" w:space="0" w:color="auto"/>
        <w:left w:val="none" w:sz="0" w:space="0" w:color="auto"/>
        <w:bottom w:val="none" w:sz="0" w:space="0" w:color="auto"/>
        <w:right w:val="none" w:sz="0" w:space="0" w:color="auto"/>
      </w:divBdr>
    </w:div>
    <w:div w:id="1448544922">
      <w:bodyDiv w:val="1"/>
      <w:marLeft w:val="0"/>
      <w:marRight w:val="0"/>
      <w:marTop w:val="0"/>
      <w:marBottom w:val="0"/>
      <w:divBdr>
        <w:top w:val="none" w:sz="0" w:space="0" w:color="auto"/>
        <w:left w:val="none" w:sz="0" w:space="0" w:color="auto"/>
        <w:bottom w:val="none" w:sz="0" w:space="0" w:color="auto"/>
        <w:right w:val="none" w:sz="0" w:space="0" w:color="auto"/>
      </w:divBdr>
    </w:div>
    <w:div w:id="1453137453">
      <w:bodyDiv w:val="1"/>
      <w:marLeft w:val="0"/>
      <w:marRight w:val="0"/>
      <w:marTop w:val="0"/>
      <w:marBottom w:val="0"/>
      <w:divBdr>
        <w:top w:val="none" w:sz="0" w:space="0" w:color="auto"/>
        <w:left w:val="none" w:sz="0" w:space="0" w:color="auto"/>
        <w:bottom w:val="none" w:sz="0" w:space="0" w:color="auto"/>
        <w:right w:val="none" w:sz="0" w:space="0" w:color="auto"/>
      </w:divBdr>
    </w:div>
    <w:div w:id="1454401080">
      <w:bodyDiv w:val="1"/>
      <w:marLeft w:val="0"/>
      <w:marRight w:val="0"/>
      <w:marTop w:val="0"/>
      <w:marBottom w:val="0"/>
      <w:divBdr>
        <w:top w:val="none" w:sz="0" w:space="0" w:color="auto"/>
        <w:left w:val="none" w:sz="0" w:space="0" w:color="auto"/>
        <w:bottom w:val="none" w:sz="0" w:space="0" w:color="auto"/>
        <w:right w:val="none" w:sz="0" w:space="0" w:color="auto"/>
      </w:divBdr>
    </w:div>
    <w:div w:id="1473906106">
      <w:bodyDiv w:val="1"/>
      <w:marLeft w:val="0"/>
      <w:marRight w:val="0"/>
      <w:marTop w:val="0"/>
      <w:marBottom w:val="0"/>
      <w:divBdr>
        <w:top w:val="none" w:sz="0" w:space="0" w:color="auto"/>
        <w:left w:val="none" w:sz="0" w:space="0" w:color="auto"/>
        <w:bottom w:val="none" w:sz="0" w:space="0" w:color="auto"/>
        <w:right w:val="none" w:sz="0" w:space="0" w:color="auto"/>
      </w:divBdr>
    </w:div>
    <w:div w:id="1475755235">
      <w:bodyDiv w:val="1"/>
      <w:marLeft w:val="0"/>
      <w:marRight w:val="0"/>
      <w:marTop w:val="0"/>
      <w:marBottom w:val="0"/>
      <w:divBdr>
        <w:top w:val="none" w:sz="0" w:space="0" w:color="auto"/>
        <w:left w:val="none" w:sz="0" w:space="0" w:color="auto"/>
        <w:bottom w:val="none" w:sz="0" w:space="0" w:color="auto"/>
        <w:right w:val="none" w:sz="0" w:space="0" w:color="auto"/>
      </w:divBdr>
    </w:div>
    <w:div w:id="1494878516">
      <w:bodyDiv w:val="1"/>
      <w:marLeft w:val="0"/>
      <w:marRight w:val="0"/>
      <w:marTop w:val="0"/>
      <w:marBottom w:val="0"/>
      <w:divBdr>
        <w:top w:val="none" w:sz="0" w:space="0" w:color="auto"/>
        <w:left w:val="none" w:sz="0" w:space="0" w:color="auto"/>
        <w:bottom w:val="none" w:sz="0" w:space="0" w:color="auto"/>
        <w:right w:val="none" w:sz="0" w:space="0" w:color="auto"/>
      </w:divBdr>
    </w:div>
    <w:div w:id="1496728412">
      <w:bodyDiv w:val="1"/>
      <w:marLeft w:val="0"/>
      <w:marRight w:val="0"/>
      <w:marTop w:val="0"/>
      <w:marBottom w:val="0"/>
      <w:divBdr>
        <w:top w:val="none" w:sz="0" w:space="0" w:color="auto"/>
        <w:left w:val="none" w:sz="0" w:space="0" w:color="auto"/>
        <w:bottom w:val="none" w:sz="0" w:space="0" w:color="auto"/>
        <w:right w:val="none" w:sz="0" w:space="0" w:color="auto"/>
      </w:divBdr>
    </w:div>
    <w:div w:id="1507983834">
      <w:bodyDiv w:val="1"/>
      <w:marLeft w:val="0"/>
      <w:marRight w:val="0"/>
      <w:marTop w:val="0"/>
      <w:marBottom w:val="0"/>
      <w:divBdr>
        <w:top w:val="none" w:sz="0" w:space="0" w:color="auto"/>
        <w:left w:val="none" w:sz="0" w:space="0" w:color="auto"/>
        <w:bottom w:val="none" w:sz="0" w:space="0" w:color="auto"/>
        <w:right w:val="none" w:sz="0" w:space="0" w:color="auto"/>
      </w:divBdr>
    </w:div>
    <w:div w:id="1522164447">
      <w:bodyDiv w:val="1"/>
      <w:marLeft w:val="0"/>
      <w:marRight w:val="0"/>
      <w:marTop w:val="0"/>
      <w:marBottom w:val="0"/>
      <w:divBdr>
        <w:top w:val="none" w:sz="0" w:space="0" w:color="auto"/>
        <w:left w:val="none" w:sz="0" w:space="0" w:color="auto"/>
        <w:bottom w:val="none" w:sz="0" w:space="0" w:color="auto"/>
        <w:right w:val="none" w:sz="0" w:space="0" w:color="auto"/>
      </w:divBdr>
    </w:div>
    <w:div w:id="1525826781">
      <w:bodyDiv w:val="1"/>
      <w:marLeft w:val="0"/>
      <w:marRight w:val="0"/>
      <w:marTop w:val="0"/>
      <w:marBottom w:val="0"/>
      <w:divBdr>
        <w:top w:val="none" w:sz="0" w:space="0" w:color="auto"/>
        <w:left w:val="none" w:sz="0" w:space="0" w:color="auto"/>
        <w:bottom w:val="none" w:sz="0" w:space="0" w:color="auto"/>
        <w:right w:val="none" w:sz="0" w:space="0" w:color="auto"/>
      </w:divBdr>
    </w:div>
    <w:div w:id="1530871114">
      <w:bodyDiv w:val="1"/>
      <w:marLeft w:val="0"/>
      <w:marRight w:val="0"/>
      <w:marTop w:val="0"/>
      <w:marBottom w:val="0"/>
      <w:divBdr>
        <w:top w:val="none" w:sz="0" w:space="0" w:color="auto"/>
        <w:left w:val="none" w:sz="0" w:space="0" w:color="auto"/>
        <w:bottom w:val="none" w:sz="0" w:space="0" w:color="auto"/>
        <w:right w:val="none" w:sz="0" w:space="0" w:color="auto"/>
      </w:divBdr>
    </w:div>
    <w:div w:id="1534657377">
      <w:bodyDiv w:val="1"/>
      <w:marLeft w:val="0"/>
      <w:marRight w:val="0"/>
      <w:marTop w:val="0"/>
      <w:marBottom w:val="0"/>
      <w:divBdr>
        <w:top w:val="none" w:sz="0" w:space="0" w:color="auto"/>
        <w:left w:val="none" w:sz="0" w:space="0" w:color="auto"/>
        <w:bottom w:val="none" w:sz="0" w:space="0" w:color="auto"/>
        <w:right w:val="none" w:sz="0" w:space="0" w:color="auto"/>
      </w:divBdr>
    </w:div>
    <w:div w:id="1556963119">
      <w:bodyDiv w:val="1"/>
      <w:marLeft w:val="0"/>
      <w:marRight w:val="0"/>
      <w:marTop w:val="0"/>
      <w:marBottom w:val="0"/>
      <w:divBdr>
        <w:top w:val="none" w:sz="0" w:space="0" w:color="auto"/>
        <w:left w:val="none" w:sz="0" w:space="0" w:color="auto"/>
        <w:bottom w:val="none" w:sz="0" w:space="0" w:color="auto"/>
        <w:right w:val="none" w:sz="0" w:space="0" w:color="auto"/>
      </w:divBdr>
    </w:div>
    <w:div w:id="1564678494">
      <w:bodyDiv w:val="1"/>
      <w:marLeft w:val="0"/>
      <w:marRight w:val="0"/>
      <w:marTop w:val="0"/>
      <w:marBottom w:val="0"/>
      <w:divBdr>
        <w:top w:val="none" w:sz="0" w:space="0" w:color="auto"/>
        <w:left w:val="none" w:sz="0" w:space="0" w:color="auto"/>
        <w:bottom w:val="none" w:sz="0" w:space="0" w:color="auto"/>
        <w:right w:val="none" w:sz="0" w:space="0" w:color="auto"/>
      </w:divBdr>
    </w:div>
    <w:div w:id="1577546474">
      <w:bodyDiv w:val="1"/>
      <w:marLeft w:val="0"/>
      <w:marRight w:val="0"/>
      <w:marTop w:val="0"/>
      <w:marBottom w:val="0"/>
      <w:divBdr>
        <w:top w:val="none" w:sz="0" w:space="0" w:color="auto"/>
        <w:left w:val="none" w:sz="0" w:space="0" w:color="auto"/>
        <w:bottom w:val="none" w:sz="0" w:space="0" w:color="auto"/>
        <w:right w:val="none" w:sz="0" w:space="0" w:color="auto"/>
      </w:divBdr>
    </w:div>
    <w:div w:id="1584024682">
      <w:bodyDiv w:val="1"/>
      <w:marLeft w:val="0"/>
      <w:marRight w:val="0"/>
      <w:marTop w:val="0"/>
      <w:marBottom w:val="0"/>
      <w:divBdr>
        <w:top w:val="none" w:sz="0" w:space="0" w:color="auto"/>
        <w:left w:val="none" w:sz="0" w:space="0" w:color="auto"/>
        <w:bottom w:val="none" w:sz="0" w:space="0" w:color="auto"/>
        <w:right w:val="none" w:sz="0" w:space="0" w:color="auto"/>
      </w:divBdr>
    </w:div>
    <w:div w:id="1586648351">
      <w:bodyDiv w:val="1"/>
      <w:marLeft w:val="0"/>
      <w:marRight w:val="0"/>
      <w:marTop w:val="0"/>
      <w:marBottom w:val="0"/>
      <w:divBdr>
        <w:top w:val="none" w:sz="0" w:space="0" w:color="auto"/>
        <w:left w:val="none" w:sz="0" w:space="0" w:color="auto"/>
        <w:bottom w:val="none" w:sz="0" w:space="0" w:color="auto"/>
        <w:right w:val="none" w:sz="0" w:space="0" w:color="auto"/>
      </w:divBdr>
    </w:div>
    <w:div w:id="1589341428">
      <w:bodyDiv w:val="1"/>
      <w:marLeft w:val="0"/>
      <w:marRight w:val="0"/>
      <w:marTop w:val="0"/>
      <w:marBottom w:val="0"/>
      <w:divBdr>
        <w:top w:val="none" w:sz="0" w:space="0" w:color="auto"/>
        <w:left w:val="none" w:sz="0" w:space="0" w:color="auto"/>
        <w:bottom w:val="none" w:sz="0" w:space="0" w:color="auto"/>
        <w:right w:val="none" w:sz="0" w:space="0" w:color="auto"/>
      </w:divBdr>
    </w:div>
    <w:div w:id="1596286945">
      <w:bodyDiv w:val="1"/>
      <w:marLeft w:val="0"/>
      <w:marRight w:val="0"/>
      <w:marTop w:val="0"/>
      <w:marBottom w:val="0"/>
      <w:divBdr>
        <w:top w:val="none" w:sz="0" w:space="0" w:color="auto"/>
        <w:left w:val="none" w:sz="0" w:space="0" w:color="auto"/>
        <w:bottom w:val="none" w:sz="0" w:space="0" w:color="auto"/>
        <w:right w:val="none" w:sz="0" w:space="0" w:color="auto"/>
      </w:divBdr>
    </w:div>
    <w:div w:id="1598176742">
      <w:bodyDiv w:val="1"/>
      <w:marLeft w:val="0"/>
      <w:marRight w:val="0"/>
      <w:marTop w:val="0"/>
      <w:marBottom w:val="0"/>
      <w:divBdr>
        <w:top w:val="none" w:sz="0" w:space="0" w:color="auto"/>
        <w:left w:val="none" w:sz="0" w:space="0" w:color="auto"/>
        <w:bottom w:val="none" w:sz="0" w:space="0" w:color="auto"/>
        <w:right w:val="none" w:sz="0" w:space="0" w:color="auto"/>
      </w:divBdr>
    </w:div>
    <w:div w:id="1622878994">
      <w:bodyDiv w:val="1"/>
      <w:marLeft w:val="0"/>
      <w:marRight w:val="0"/>
      <w:marTop w:val="0"/>
      <w:marBottom w:val="0"/>
      <w:divBdr>
        <w:top w:val="none" w:sz="0" w:space="0" w:color="auto"/>
        <w:left w:val="none" w:sz="0" w:space="0" w:color="auto"/>
        <w:bottom w:val="none" w:sz="0" w:space="0" w:color="auto"/>
        <w:right w:val="none" w:sz="0" w:space="0" w:color="auto"/>
      </w:divBdr>
    </w:div>
    <w:div w:id="1642735161">
      <w:bodyDiv w:val="1"/>
      <w:marLeft w:val="0"/>
      <w:marRight w:val="0"/>
      <w:marTop w:val="0"/>
      <w:marBottom w:val="0"/>
      <w:divBdr>
        <w:top w:val="none" w:sz="0" w:space="0" w:color="auto"/>
        <w:left w:val="none" w:sz="0" w:space="0" w:color="auto"/>
        <w:bottom w:val="none" w:sz="0" w:space="0" w:color="auto"/>
        <w:right w:val="none" w:sz="0" w:space="0" w:color="auto"/>
      </w:divBdr>
    </w:div>
    <w:div w:id="1643120681">
      <w:bodyDiv w:val="1"/>
      <w:marLeft w:val="0"/>
      <w:marRight w:val="0"/>
      <w:marTop w:val="0"/>
      <w:marBottom w:val="0"/>
      <w:divBdr>
        <w:top w:val="none" w:sz="0" w:space="0" w:color="auto"/>
        <w:left w:val="none" w:sz="0" w:space="0" w:color="auto"/>
        <w:bottom w:val="none" w:sz="0" w:space="0" w:color="auto"/>
        <w:right w:val="none" w:sz="0" w:space="0" w:color="auto"/>
      </w:divBdr>
    </w:div>
    <w:div w:id="1657412283">
      <w:bodyDiv w:val="1"/>
      <w:marLeft w:val="0"/>
      <w:marRight w:val="0"/>
      <w:marTop w:val="0"/>
      <w:marBottom w:val="0"/>
      <w:divBdr>
        <w:top w:val="none" w:sz="0" w:space="0" w:color="auto"/>
        <w:left w:val="none" w:sz="0" w:space="0" w:color="auto"/>
        <w:bottom w:val="none" w:sz="0" w:space="0" w:color="auto"/>
        <w:right w:val="none" w:sz="0" w:space="0" w:color="auto"/>
      </w:divBdr>
    </w:div>
    <w:div w:id="1658144485">
      <w:bodyDiv w:val="1"/>
      <w:marLeft w:val="0"/>
      <w:marRight w:val="0"/>
      <w:marTop w:val="0"/>
      <w:marBottom w:val="0"/>
      <w:divBdr>
        <w:top w:val="none" w:sz="0" w:space="0" w:color="auto"/>
        <w:left w:val="none" w:sz="0" w:space="0" w:color="auto"/>
        <w:bottom w:val="none" w:sz="0" w:space="0" w:color="auto"/>
        <w:right w:val="none" w:sz="0" w:space="0" w:color="auto"/>
      </w:divBdr>
    </w:div>
    <w:div w:id="1663924827">
      <w:bodyDiv w:val="1"/>
      <w:marLeft w:val="0"/>
      <w:marRight w:val="0"/>
      <w:marTop w:val="0"/>
      <w:marBottom w:val="0"/>
      <w:divBdr>
        <w:top w:val="none" w:sz="0" w:space="0" w:color="auto"/>
        <w:left w:val="none" w:sz="0" w:space="0" w:color="auto"/>
        <w:bottom w:val="none" w:sz="0" w:space="0" w:color="auto"/>
        <w:right w:val="none" w:sz="0" w:space="0" w:color="auto"/>
      </w:divBdr>
    </w:div>
    <w:div w:id="1676304627">
      <w:bodyDiv w:val="1"/>
      <w:marLeft w:val="0"/>
      <w:marRight w:val="0"/>
      <w:marTop w:val="0"/>
      <w:marBottom w:val="0"/>
      <w:divBdr>
        <w:top w:val="none" w:sz="0" w:space="0" w:color="auto"/>
        <w:left w:val="none" w:sz="0" w:space="0" w:color="auto"/>
        <w:bottom w:val="none" w:sz="0" w:space="0" w:color="auto"/>
        <w:right w:val="none" w:sz="0" w:space="0" w:color="auto"/>
      </w:divBdr>
    </w:div>
    <w:div w:id="1710491504">
      <w:bodyDiv w:val="1"/>
      <w:marLeft w:val="0"/>
      <w:marRight w:val="0"/>
      <w:marTop w:val="0"/>
      <w:marBottom w:val="0"/>
      <w:divBdr>
        <w:top w:val="none" w:sz="0" w:space="0" w:color="auto"/>
        <w:left w:val="none" w:sz="0" w:space="0" w:color="auto"/>
        <w:bottom w:val="none" w:sz="0" w:space="0" w:color="auto"/>
        <w:right w:val="none" w:sz="0" w:space="0" w:color="auto"/>
      </w:divBdr>
    </w:div>
    <w:div w:id="1721904275">
      <w:bodyDiv w:val="1"/>
      <w:marLeft w:val="0"/>
      <w:marRight w:val="0"/>
      <w:marTop w:val="0"/>
      <w:marBottom w:val="0"/>
      <w:divBdr>
        <w:top w:val="none" w:sz="0" w:space="0" w:color="auto"/>
        <w:left w:val="none" w:sz="0" w:space="0" w:color="auto"/>
        <w:bottom w:val="none" w:sz="0" w:space="0" w:color="auto"/>
        <w:right w:val="none" w:sz="0" w:space="0" w:color="auto"/>
      </w:divBdr>
    </w:div>
    <w:div w:id="1732078628">
      <w:bodyDiv w:val="1"/>
      <w:marLeft w:val="0"/>
      <w:marRight w:val="0"/>
      <w:marTop w:val="0"/>
      <w:marBottom w:val="0"/>
      <w:divBdr>
        <w:top w:val="none" w:sz="0" w:space="0" w:color="auto"/>
        <w:left w:val="none" w:sz="0" w:space="0" w:color="auto"/>
        <w:bottom w:val="none" w:sz="0" w:space="0" w:color="auto"/>
        <w:right w:val="none" w:sz="0" w:space="0" w:color="auto"/>
      </w:divBdr>
    </w:div>
    <w:div w:id="1757550776">
      <w:bodyDiv w:val="1"/>
      <w:marLeft w:val="0"/>
      <w:marRight w:val="0"/>
      <w:marTop w:val="0"/>
      <w:marBottom w:val="0"/>
      <w:divBdr>
        <w:top w:val="none" w:sz="0" w:space="0" w:color="auto"/>
        <w:left w:val="none" w:sz="0" w:space="0" w:color="auto"/>
        <w:bottom w:val="none" w:sz="0" w:space="0" w:color="auto"/>
        <w:right w:val="none" w:sz="0" w:space="0" w:color="auto"/>
      </w:divBdr>
    </w:div>
    <w:div w:id="1789157762">
      <w:bodyDiv w:val="1"/>
      <w:marLeft w:val="0"/>
      <w:marRight w:val="0"/>
      <w:marTop w:val="0"/>
      <w:marBottom w:val="0"/>
      <w:divBdr>
        <w:top w:val="none" w:sz="0" w:space="0" w:color="auto"/>
        <w:left w:val="none" w:sz="0" w:space="0" w:color="auto"/>
        <w:bottom w:val="none" w:sz="0" w:space="0" w:color="auto"/>
        <w:right w:val="none" w:sz="0" w:space="0" w:color="auto"/>
      </w:divBdr>
    </w:div>
    <w:div w:id="1793480925">
      <w:bodyDiv w:val="1"/>
      <w:marLeft w:val="0"/>
      <w:marRight w:val="0"/>
      <w:marTop w:val="0"/>
      <w:marBottom w:val="0"/>
      <w:divBdr>
        <w:top w:val="none" w:sz="0" w:space="0" w:color="auto"/>
        <w:left w:val="none" w:sz="0" w:space="0" w:color="auto"/>
        <w:bottom w:val="none" w:sz="0" w:space="0" w:color="auto"/>
        <w:right w:val="none" w:sz="0" w:space="0" w:color="auto"/>
      </w:divBdr>
    </w:div>
    <w:div w:id="1799452688">
      <w:bodyDiv w:val="1"/>
      <w:marLeft w:val="0"/>
      <w:marRight w:val="0"/>
      <w:marTop w:val="0"/>
      <w:marBottom w:val="0"/>
      <w:divBdr>
        <w:top w:val="none" w:sz="0" w:space="0" w:color="auto"/>
        <w:left w:val="none" w:sz="0" w:space="0" w:color="auto"/>
        <w:bottom w:val="none" w:sz="0" w:space="0" w:color="auto"/>
        <w:right w:val="none" w:sz="0" w:space="0" w:color="auto"/>
      </w:divBdr>
    </w:div>
    <w:div w:id="1804540336">
      <w:bodyDiv w:val="1"/>
      <w:marLeft w:val="0"/>
      <w:marRight w:val="0"/>
      <w:marTop w:val="0"/>
      <w:marBottom w:val="0"/>
      <w:divBdr>
        <w:top w:val="none" w:sz="0" w:space="0" w:color="auto"/>
        <w:left w:val="none" w:sz="0" w:space="0" w:color="auto"/>
        <w:bottom w:val="none" w:sz="0" w:space="0" w:color="auto"/>
        <w:right w:val="none" w:sz="0" w:space="0" w:color="auto"/>
      </w:divBdr>
    </w:div>
    <w:div w:id="1812406412">
      <w:bodyDiv w:val="1"/>
      <w:marLeft w:val="0"/>
      <w:marRight w:val="0"/>
      <w:marTop w:val="0"/>
      <w:marBottom w:val="0"/>
      <w:divBdr>
        <w:top w:val="none" w:sz="0" w:space="0" w:color="auto"/>
        <w:left w:val="none" w:sz="0" w:space="0" w:color="auto"/>
        <w:bottom w:val="none" w:sz="0" w:space="0" w:color="auto"/>
        <w:right w:val="none" w:sz="0" w:space="0" w:color="auto"/>
      </w:divBdr>
    </w:div>
    <w:div w:id="1842430343">
      <w:bodyDiv w:val="1"/>
      <w:marLeft w:val="0"/>
      <w:marRight w:val="0"/>
      <w:marTop w:val="0"/>
      <w:marBottom w:val="0"/>
      <w:divBdr>
        <w:top w:val="none" w:sz="0" w:space="0" w:color="auto"/>
        <w:left w:val="none" w:sz="0" w:space="0" w:color="auto"/>
        <w:bottom w:val="none" w:sz="0" w:space="0" w:color="auto"/>
        <w:right w:val="none" w:sz="0" w:space="0" w:color="auto"/>
      </w:divBdr>
    </w:div>
    <w:div w:id="1853378854">
      <w:bodyDiv w:val="1"/>
      <w:marLeft w:val="0"/>
      <w:marRight w:val="0"/>
      <w:marTop w:val="0"/>
      <w:marBottom w:val="0"/>
      <w:divBdr>
        <w:top w:val="none" w:sz="0" w:space="0" w:color="auto"/>
        <w:left w:val="none" w:sz="0" w:space="0" w:color="auto"/>
        <w:bottom w:val="none" w:sz="0" w:space="0" w:color="auto"/>
        <w:right w:val="none" w:sz="0" w:space="0" w:color="auto"/>
      </w:divBdr>
    </w:div>
    <w:div w:id="1854494859">
      <w:bodyDiv w:val="1"/>
      <w:marLeft w:val="0"/>
      <w:marRight w:val="0"/>
      <w:marTop w:val="0"/>
      <w:marBottom w:val="0"/>
      <w:divBdr>
        <w:top w:val="none" w:sz="0" w:space="0" w:color="auto"/>
        <w:left w:val="none" w:sz="0" w:space="0" w:color="auto"/>
        <w:bottom w:val="none" w:sz="0" w:space="0" w:color="auto"/>
        <w:right w:val="none" w:sz="0" w:space="0" w:color="auto"/>
      </w:divBdr>
    </w:div>
    <w:div w:id="1862232593">
      <w:bodyDiv w:val="1"/>
      <w:marLeft w:val="0"/>
      <w:marRight w:val="0"/>
      <w:marTop w:val="0"/>
      <w:marBottom w:val="0"/>
      <w:divBdr>
        <w:top w:val="none" w:sz="0" w:space="0" w:color="auto"/>
        <w:left w:val="none" w:sz="0" w:space="0" w:color="auto"/>
        <w:bottom w:val="none" w:sz="0" w:space="0" w:color="auto"/>
        <w:right w:val="none" w:sz="0" w:space="0" w:color="auto"/>
      </w:divBdr>
    </w:div>
    <w:div w:id="1863200138">
      <w:bodyDiv w:val="1"/>
      <w:marLeft w:val="0"/>
      <w:marRight w:val="0"/>
      <w:marTop w:val="0"/>
      <w:marBottom w:val="0"/>
      <w:divBdr>
        <w:top w:val="none" w:sz="0" w:space="0" w:color="auto"/>
        <w:left w:val="none" w:sz="0" w:space="0" w:color="auto"/>
        <w:bottom w:val="none" w:sz="0" w:space="0" w:color="auto"/>
        <w:right w:val="none" w:sz="0" w:space="0" w:color="auto"/>
      </w:divBdr>
    </w:div>
    <w:div w:id="1865089417">
      <w:bodyDiv w:val="1"/>
      <w:marLeft w:val="0"/>
      <w:marRight w:val="0"/>
      <w:marTop w:val="0"/>
      <w:marBottom w:val="0"/>
      <w:divBdr>
        <w:top w:val="none" w:sz="0" w:space="0" w:color="auto"/>
        <w:left w:val="none" w:sz="0" w:space="0" w:color="auto"/>
        <w:bottom w:val="none" w:sz="0" w:space="0" w:color="auto"/>
        <w:right w:val="none" w:sz="0" w:space="0" w:color="auto"/>
      </w:divBdr>
    </w:div>
    <w:div w:id="1865941129">
      <w:bodyDiv w:val="1"/>
      <w:marLeft w:val="0"/>
      <w:marRight w:val="0"/>
      <w:marTop w:val="0"/>
      <w:marBottom w:val="0"/>
      <w:divBdr>
        <w:top w:val="none" w:sz="0" w:space="0" w:color="auto"/>
        <w:left w:val="none" w:sz="0" w:space="0" w:color="auto"/>
        <w:bottom w:val="none" w:sz="0" w:space="0" w:color="auto"/>
        <w:right w:val="none" w:sz="0" w:space="0" w:color="auto"/>
      </w:divBdr>
    </w:div>
    <w:div w:id="1877230545">
      <w:bodyDiv w:val="1"/>
      <w:marLeft w:val="0"/>
      <w:marRight w:val="0"/>
      <w:marTop w:val="0"/>
      <w:marBottom w:val="0"/>
      <w:divBdr>
        <w:top w:val="none" w:sz="0" w:space="0" w:color="auto"/>
        <w:left w:val="none" w:sz="0" w:space="0" w:color="auto"/>
        <w:bottom w:val="none" w:sz="0" w:space="0" w:color="auto"/>
        <w:right w:val="none" w:sz="0" w:space="0" w:color="auto"/>
      </w:divBdr>
    </w:div>
    <w:div w:id="1909000954">
      <w:bodyDiv w:val="1"/>
      <w:marLeft w:val="0"/>
      <w:marRight w:val="0"/>
      <w:marTop w:val="0"/>
      <w:marBottom w:val="0"/>
      <w:divBdr>
        <w:top w:val="none" w:sz="0" w:space="0" w:color="auto"/>
        <w:left w:val="none" w:sz="0" w:space="0" w:color="auto"/>
        <w:bottom w:val="none" w:sz="0" w:space="0" w:color="auto"/>
        <w:right w:val="none" w:sz="0" w:space="0" w:color="auto"/>
      </w:divBdr>
    </w:div>
    <w:div w:id="1912815486">
      <w:bodyDiv w:val="1"/>
      <w:marLeft w:val="0"/>
      <w:marRight w:val="0"/>
      <w:marTop w:val="0"/>
      <w:marBottom w:val="0"/>
      <w:divBdr>
        <w:top w:val="none" w:sz="0" w:space="0" w:color="auto"/>
        <w:left w:val="none" w:sz="0" w:space="0" w:color="auto"/>
        <w:bottom w:val="none" w:sz="0" w:space="0" w:color="auto"/>
        <w:right w:val="none" w:sz="0" w:space="0" w:color="auto"/>
      </w:divBdr>
    </w:div>
    <w:div w:id="1930503846">
      <w:bodyDiv w:val="1"/>
      <w:marLeft w:val="0"/>
      <w:marRight w:val="0"/>
      <w:marTop w:val="0"/>
      <w:marBottom w:val="0"/>
      <w:divBdr>
        <w:top w:val="none" w:sz="0" w:space="0" w:color="auto"/>
        <w:left w:val="none" w:sz="0" w:space="0" w:color="auto"/>
        <w:bottom w:val="none" w:sz="0" w:space="0" w:color="auto"/>
        <w:right w:val="none" w:sz="0" w:space="0" w:color="auto"/>
      </w:divBdr>
    </w:div>
    <w:div w:id="1961759974">
      <w:bodyDiv w:val="1"/>
      <w:marLeft w:val="0"/>
      <w:marRight w:val="0"/>
      <w:marTop w:val="0"/>
      <w:marBottom w:val="0"/>
      <w:divBdr>
        <w:top w:val="none" w:sz="0" w:space="0" w:color="auto"/>
        <w:left w:val="none" w:sz="0" w:space="0" w:color="auto"/>
        <w:bottom w:val="none" w:sz="0" w:space="0" w:color="auto"/>
        <w:right w:val="none" w:sz="0" w:space="0" w:color="auto"/>
      </w:divBdr>
    </w:div>
    <w:div w:id="1974214135">
      <w:bodyDiv w:val="1"/>
      <w:marLeft w:val="0"/>
      <w:marRight w:val="0"/>
      <w:marTop w:val="0"/>
      <w:marBottom w:val="0"/>
      <w:divBdr>
        <w:top w:val="none" w:sz="0" w:space="0" w:color="auto"/>
        <w:left w:val="none" w:sz="0" w:space="0" w:color="auto"/>
        <w:bottom w:val="none" w:sz="0" w:space="0" w:color="auto"/>
        <w:right w:val="none" w:sz="0" w:space="0" w:color="auto"/>
      </w:divBdr>
    </w:div>
    <w:div w:id="1996882995">
      <w:bodyDiv w:val="1"/>
      <w:marLeft w:val="0"/>
      <w:marRight w:val="0"/>
      <w:marTop w:val="0"/>
      <w:marBottom w:val="0"/>
      <w:divBdr>
        <w:top w:val="none" w:sz="0" w:space="0" w:color="auto"/>
        <w:left w:val="none" w:sz="0" w:space="0" w:color="auto"/>
        <w:bottom w:val="none" w:sz="0" w:space="0" w:color="auto"/>
        <w:right w:val="none" w:sz="0" w:space="0" w:color="auto"/>
      </w:divBdr>
    </w:div>
    <w:div w:id="2013415923">
      <w:bodyDiv w:val="1"/>
      <w:marLeft w:val="0"/>
      <w:marRight w:val="0"/>
      <w:marTop w:val="0"/>
      <w:marBottom w:val="0"/>
      <w:divBdr>
        <w:top w:val="none" w:sz="0" w:space="0" w:color="auto"/>
        <w:left w:val="none" w:sz="0" w:space="0" w:color="auto"/>
        <w:bottom w:val="none" w:sz="0" w:space="0" w:color="auto"/>
        <w:right w:val="none" w:sz="0" w:space="0" w:color="auto"/>
      </w:divBdr>
    </w:div>
    <w:div w:id="2014721470">
      <w:bodyDiv w:val="1"/>
      <w:marLeft w:val="0"/>
      <w:marRight w:val="0"/>
      <w:marTop w:val="0"/>
      <w:marBottom w:val="0"/>
      <w:divBdr>
        <w:top w:val="none" w:sz="0" w:space="0" w:color="auto"/>
        <w:left w:val="none" w:sz="0" w:space="0" w:color="auto"/>
        <w:bottom w:val="none" w:sz="0" w:space="0" w:color="auto"/>
        <w:right w:val="none" w:sz="0" w:space="0" w:color="auto"/>
      </w:divBdr>
    </w:div>
    <w:div w:id="2016034221">
      <w:bodyDiv w:val="1"/>
      <w:marLeft w:val="0"/>
      <w:marRight w:val="0"/>
      <w:marTop w:val="0"/>
      <w:marBottom w:val="0"/>
      <w:divBdr>
        <w:top w:val="none" w:sz="0" w:space="0" w:color="auto"/>
        <w:left w:val="none" w:sz="0" w:space="0" w:color="auto"/>
        <w:bottom w:val="none" w:sz="0" w:space="0" w:color="auto"/>
        <w:right w:val="none" w:sz="0" w:space="0" w:color="auto"/>
      </w:divBdr>
    </w:div>
    <w:div w:id="2035424916">
      <w:bodyDiv w:val="1"/>
      <w:marLeft w:val="0"/>
      <w:marRight w:val="0"/>
      <w:marTop w:val="0"/>
      <w:marBottom w:val="0"/>
      <w:divBdr>
        <w:top w:val="none" w:sz="0" w:space="0" w:color="auto"/>
        <w:left w:val="none" w:sz="0" w:space="0" w:color="auto"/>
        <w:bottom w:val="none" w:sz="0" w:space="0" w:color="auto"/>
        <w:right w:val="none" w:sz="0" w:space="0" w:color="auto"/>
      </w:divBdr>
    </w:div>
    <w:div w:id="2045717289">
      <w:bodyDiv w:val="1"/>
      <w:marLeft w:val="0"/>
      <w:marRight w:val="0"/>
      <w:marTop w:val="0"/>
      <w:marBottom w:val="0"/>
      <w:divBdr>
        <w:top w:val="none" w:sz="0" w:space="0" w:color="auto"/>
        <w:left w:val="none" w:sz="0" w:space="0" w:color="auto"/>
        <w:bottom w:val="none" w:sz="0" w:space="0" w:color="auto"/>
        <w:right w:val="none" w:sz="0" w:space="0" w:color="auto"/>
      </w:divBdr>
    </w:div>
    <w:div w:id="2051294548">
      <w:bodyDiv w:val="1"/>
      <w:marLeft w:val="0"/>
      <w:marRight w:val="0"/>
      <w:marTop w:val="0"/>
      <w:marBottom w:val="0"/>
      <w:divBdr>
        <w:top w:val="none" w:sz="0" w:space="0" w:color="auto"/>
        <w:left w:val="none" w:sz="0" w:space="0" w:color="auto"/>
        <w:bottom w:val="none" w:sz="0" w:space="0" w:color="auto"/>
        <w:right w:val="none" w:sz="0" w:space="0" w:color="auto"/>
      </w:divBdr>
    </w:div>
    <w:div w:id="2052148701">
      <w:bodyDiv w:val="1"/>
      <w:marLeft w:val="0"/>
      <w:marRight w:val="0"/>
      <w:marTop w:val="0"/>
      <w:marBottom w:val="0"/>
      <w:divBdr>
        <w:top w:val="none" w:sz="0" w:space="0" w:color="auto"/>
        <w:left w:val="none" w:sz="0" w:space="0" w:color="auto"/>
        <w:bottom w:val="none" w:sz="0" w:space="0" w:color="auto"/>
        <w:right w:val="none" w:sz="0" w:space="0" w:color="auto"/>
      </w:divBdr>
    </w:div>
    <w:div w:id="2067221204">
      <w:bodyDiv w:val="1"/>
      <w:marLeft w:val="0"/>
      <w:marRight w:val="0"/>
      <w:marTop w:val="0"/>
      <w:marBottom w:val="0"/>
      <w:divBdr>
        <w:top w:val="none" w:sz="0" w:space="0" w:color="auto"/>
        <w:left w:val="none" w:sz="0" w:space="0" w:color="auto"/>
        <w:bottom w:val="none" w:sz="0" w:space="0" w:color="auto"/>
        <w:right w:val="none" w:sz="0" w:space="0" w:color="auto"/>
      </w:divBdr>
    </w:div>
    <w:div w:id="2073236020">
      <w:bodyDiv w:val="1"/>
      <w:marLeft w:val="0"/>
      <w:marRight w:val="0"/>
      <w:marTop w:val="0"/>
      <w:marBottom w:val="0"/>
      <w:divBdr>
        <w:top w:val="none" w:sz="0" w:space="0" w:color="auto"/>
        <w:left w:val="none" w:sz="0" w:space="0" w:color="auto"/>
        <w:bottom w:val="none" w:sz="0" w:space="0" w:color="auto"/>
        <w:right w:val="none" w:sz="0" w:space="0" w:color="auto"/>
      </w:divBdr>
    </w:div>
    <w:div w:id="2097242889">
      <w:bodyDiv w:val="1"/>
      <w:marLeft w:val="0"/>
      <w:marRight w:val="0"/>
      <w:marTop w:val="0"/>
      <w:marBottom w:val="0"/>
      <w:divBdr>
        <w:top w:val="none" w:sz="0" w:space="0" w:color="auto"/>
        <w:left w:val="none" w:sz="0" w:space="0" w:color="auto"/>
        <w:bottom w:val="none" w:sz="0" w:space="0" w:color="auto"/>
        <w:right w:val="none" w:sz="0" w:space="0" w:color="auto"/>
      </w:divBdr>
    </w:div>
    <w:div w:id="2110345024">
      <w:bodyDiv w:val="1"/>
      <w:marLeft w:val="0"/>
      <w:marRight w:val="0"/>
      <w:marTop w:val="0"/>
      <w:marBottom w:val="0"/>
      <w:divBdr>
        <w:top w:val="none" w:sz="0" w:space="0" w:color="auto"/>
        <w:left w:val="none" w:sz="0" w:space="0" w:color="auto"/>
        <w:bottom w:val="none" w:sz="0" w:space="0" w:color="auto"/>
        <w:right w:val="none" w:sz="0" w:space="0" w:color="auto"/>
      </w:divBdr>
    </w:div>
    <w:div w:id="21384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image" Target="media/image42.png"/><Relationship Id="rId17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image" Target="media/image21.emf"/><Relationship Id="rId11" Type="http://schemas.openxmlformats.org/officeDocument/2006/relationships/image" Target="media/image4.jpeg"/><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png"/><Relationship Id="rId40" Type="http://schemas.openxmlformats.org/officeDocument/2006/relationships/image" Target="media/image32.emf"/><Relationship Id="rId45" Type="http://schemas.openxmlformats.org/officeDocument/2006/relationships/image" Target="media/image37.emf"/><Relationship Id="rId5" Type="http://schemas.openxmlformats.org/officeDocument/2006/relationships/webSettings" Target="webSettings.xml"/><Relationship Id="rId173" Type="http://schemas.openxmlformats.org/officeDocument/2006/relationships/hyperlink" Target="mailto:nidea@waikato.ac.nz" TargetMode="External"/><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png"/><Relationship Id="rId43" Type="http://schemas.openxmlformats.org/officeDocument/2006/relationships/image" Target="media/image35.emf"/><Relationship Id="rId48" Type="http://schemas.openxmlformats.org/officeDocument/2006/relationships/image" Target="media/image40.png"/><Relationship Id="rId172" Type="http://schemas.openxmlformats.org/officeDocument/2006/relationships/image" Target="media/image102.jpeg"/><Relationship Id="rId8" Type="http://schemas.openxmlformats.org/officeDocument/2006/relationships/image" Target="media/image1.jpeg"/><Relationship Id="rId51" Type="http://schemas.openxmlformats.org/officeDocument/2006/relationships/footer" Target="footer2.xml"/><Relationship Id="rId176"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png"/><Relationship Id="rId46" Type="http://schemas.openxmlformats.org/officeDocument/2006/relationships/image" Target="media/image38.emf"/><Relationship Id="rId20" Type="http://schemas.openxmlformats.org/officeDocument/2006/relationships/image" Target="media/image12.emf"/><Relationship Id="rId41" Type="http://schemas.openxmlformats.org/officeDocument/2006/relationships/image" Target="media/image33.emf"/><Relationship Id="rId174" Type="http://schemas.openxmlformats.org/officeDocument/2006/relationships/hyperlink" Target="http://www.waikato.ac.nz/nide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png"/><Relationship Id="rId49" Type="http://schemas.openxmlformats.org/officeDocument/2006/relationships/image" Target="media/image41.png"/><Relationship Id="rId10" Type="http://schemas.openxmlformats.org/officeDocument/2006/relationships/image" Target="media/image3.jpeg"/><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image" Target="media/image43.jpeg"/><Relationship Id="rId17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stats.govt.nz/Census/2013-census/info-about-2013-census-data/information-by-variable/total-income-personal-family-combined-parental-extended-family-and-househol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37E8C-255E-4F99-8644-D253C0D00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10944</Words>
  <Characters>62381</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73179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Shefali Pawar</dc:creator>
  <cp:keywords/>
  <dc:description/>
  <cp:lastModifiedBy>Tahu</cp:lastModifiedBy>
  <cp:revision>2</cp:revision>
  <cp:lastPrinted>2017-08-29T01:31:00Z</cp:lastPrinted>
  <dcterms:created xsi:type="dcterms:W3CDTF">2017-08-30T13:38:00Z</dcterms:created>
  <dcterms:modified xsi:type="dcterms:W3CDTF">2017-08-30T13:38:00Z</dcterms:modified>
</cp:coreProperties>
</file>